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C2" w:rsidRDefault="002A1EC2" w:rsidP="002A1EC2">
      <w:pPr>
        <w:widowControl/>
        <w:spacing w:line="560" w:lineRule="exact"/>
        <w:jc w:val="left"/>
        <w:rPr>
          <w:rFonts w:ascii="宋体" w:hAnsi="宋体" w:cs="仿宋" w:hint="eastAsia"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t>附件5</w:t>
      </w:r>
    </w:p>
    <w:p w:rsidR="002A1EC2" w:rsidRDefault="002A1EC2" w:rsidP="002A1EC2">
      <w:pPr>
        <w:pStyle w:val="1"/>
        <w:spacing w:line="560" w:lineRule="exact"/>
        <w:ind w:firstLineChars="0" w:firstLine="0"/>
        <w:jc w:val="center"/>
        <w:rPr>
          <w:rFonts w:ascii="宋体" w:eastAsia="宋体" w:hAnsi="宋体" w:cs="仿宋" w:hint="eastAsia"/>
          <w:b/>
          <w:kern w:val="0"/>
          <w:sz w:val="36"/>
          <w:szCs w:val="36"/>
        </w:rPr>
      </w:pPr>
      <w:r>
        <w:rPr>
          <w:rFonts w:ascii="宋体" w:eastAsia="宋体" w:hAnsi="宋体" w:cs="仿宋" w:hint="eastAsia"/>
          <w:b/>
          <w:kern w:val="0"/>
          <w:sz w:val="36"/>
          <w:szCs w:val="36"/>
        </w:rPr>
        <w:t>微课堂现场教学竞赛（决赛）评分表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682"/>
        <w:gridCol w:w="992"/>
        <w:gridCol w:w="1719"/>
        <w:gridCol w:w="720"/>
        <w:gridCol w:w="902"/>
        <w:gridCol w:w="720"/>
        <w:gridCol w:w="540"/>
        <w:gridCol w:w="540"/>
        <w:gridCol w:w="539"/>
        <w:gridCol w:w="456"/>
      </w:tblGrid>
      <w:tr w:rsidR="002A1EC2" w:rsidTr="00130A73">
        <w:trPr>
          <w:trHeight w:val="79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目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得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分</w:t>
            </w: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tabs>
                <w:tab w:val="left" w:pos="2117"/>
              </w:tabs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60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教学内容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教学内容与教学设计选取的内容一致。严谨充实，无科学性、政策性错误，能理论联系实际，反映社会和学科发展。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教学设计与组织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教学方案围绕选题设计，突出重点，注重实效；教学目的明确，教学思路清晰，注重学生全面发展。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教学组织与编排符合学生的认知规律；教学过程主线清晰、重点突出，逻辑性强，明了易懂；注重突出学生的主体性以及教与学活动有机结合。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教学方法与手段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效果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完成设定的教学目标，有效解决实际教学问题，能促进学生思维能力提高。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教学形式新颖，教学过程深入浅出，形象生动，趣味性和启发性强，教学氛围的营造有利于提升学生学习的积极主动性。教学互动效果好。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表达</w:t>
            </w:r>
          </w:p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讲解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pacing w:val="3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语言规范、清晰，声音洪亮、有节奏感，富有感染力。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仪表得当，严守职业规范，能展现良好的教学风貌和个人魅力。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回答评委问题紧扣主题、逻辑清晰、观点明确、表达流畅。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684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总评意见：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评价总分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2A1EC2" w:rsidTr="00130A73">
        <w:trPr>
          <w:trHeight w:val="794"/>
          <w:jc w:val="center"/>
        </w:trPr>
        <w:tc>
          <w:tcPr>
            <w:tcW w:w="68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评委签名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EC2" w:rsidRDefault="002A1EC2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</w:tbl>
    <w:p w:rsidR="002A1EC2" w:rsidRDefault="002A1EC2" w:rsidP="002A1EC2">
      <w:pPr>
        <w:rPr>
          <w:rFonts w:ascii="仿宋" w:eastAsia="仿宋" w:hAnsi="仿宋" w:cs="仿宋" w:hint="eastAsia"/>
        </w:rPr>
      </w:pPr>
    </w:p>
    <w:p w:rsidR="00604A83" w:rsidRDefault="00604A83">
      <w:bookmarkStart w:id="0" w:name="_GoBack"/>
      <w:bookmarkEnd w:id="0"/>
    </w:p>
    <w:sectPr w:rsidR="00604A83">
      <w:pgSz w:w="11906" w:h="16838"/>
      <w:pgMar w:top="1417" w:right="1474" w:bottom="1417" w:left="1587" w:header="851" w:footer="992" w:gutter="0"/>
      <w:cols w:space="720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C2"/>
    <w:rsid w:val="002A1EC2"/>
    <w:rsid w:val="006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2434-CA45-4225-AE74-65D6383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C2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A1EC2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</w:rPr>
  </w:style>
  <w:style w:type="paragraph" w:customStyle="1" w:styleId="1">
    <w:name w:val="列出段落1"/>
    <w:basedOn w:val="a"/>
    <w:qFormat/>
    <w:rsid w:val="002A1EC2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2018-09-03T07:29:00Z</dcterms:created>
  <dcterms:modified xsi:type="dcterms:W3CDTF">2018-09-03T07:29:00Z</dcterms:modified>
</cp:coreProperties>
</file>