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kinsoku/>
        <w:wordWrap/>
        <w:overflowPunct/>
        <w:topLinePunct w:val="0"/>
        <w:autoSpaceDE/>
        <w:autoSpaceDN/>
        <w:bidi w:val="0"/>
        <w:adjustRightInd/>
        <w:snapToGrid/>
        <w:spacing w:line="580" w:lineRule="exact"/>
        <w:jc w:val="center"/>
        <w:textAlignment w:val="auto"/>
        <w:rPr>
          <w:rFonts w:hint="eastAsia" w:ascii="仿宋_GB2312" w:hAnsi="宋体" w:eastAsia="仿宋_GB2312"/>
          <w:color w:val="auto"/>
          <w:sz w:val="32"/>
          <w:highlight w:val="none"/>
        </w:rPr>
      </w:pPr>
    </w:p>
    <w:p>
      <w:pPr>
        <w:keepNext w:val="0"/>
        <w:keepLines w:val="0"/>
        <w:pageBreakBefore w:val="0"/>
        <w:widowControl w:val="0"/>
        <w:kinsoku/>
        <w:overflowPunct/>
        <w:topLinePunct w:val="0"/>
        <w:autoSpaceDE/>
        <w:autoSpaceDN/>
        <w:bidi w:val="0"/>
        <w:adjustRightInd w:val="0"/>
        <w:snapToGrid w:val="0"/>
        <w:spacing w:line="580" w:lineRule="exact"/>
        <w:jc w:val="both"/>
        <w:textAlignment w:val="auto"/>
        <w:rPr>
          <w:rFonts w:hint="eastAsia" w:ascii="黑体" w:hAnsi="黑体" w:eastAsia="黑体" w:cs="黑体"/>
          <w:color w:val="auto"/>
          <w:sz w:val="32"/>
          <w:szCs w:val="32"/>
          <w:highlight w:val="none"/>
          <w:lang w:val="en-US" w:eastAsia="zh-CN"/>
        </w:rPr>
      </w:pPr>
      <w:bookmarkStart w:id="1" w:name="_GoBack"/>
      <w:bookmarkEnd w:id="1"/>
    </w:p>
    <w:p>
      <w:pPr>
        <w:keepNext w:val="0"/>
        <w:keepLines w:val="0"/>
        <w:pageBreakBefore w:val="0"/>
        <w:widowControl w:val="0"/>
        <w:kinsoku/>
        <w:overflowPunct/>
        <w:topLinePunct w:val="0"/>
        <w:autoSpaceDE/>
        <w:autoSpaceDN/>
        <w:bidi w:val="0"/>
        <w:adjustRightInd w:val="0"/>
        <w:snapToGrid w:val="0"/>
        <w:spacing w:line="580" w:lineRule="exact"/>
        <w:jc w:val="both"/>
        <w:textAlignment w:val="auto"/>
        <w:rPr>
          <w:rFonts w:hint="eastAsia" w:ascii="黑体" w:hAnsi="黑体" w:eastAsia="黑体" w:cs="黑体"/>
          <w:color w:val="auto"/>
          <w:sz w:val="32"/>
          <w:szCs w:val="32"/>
          <w:highlight w:val="none"/>
          <w:lang w:val="en-US" w:eastAsia="zh-CN"/>
        </w:rPr>
      </w:pPr>
    </w:p>
    <w:p>
      <w:pPr>
        <w:pStyle w:val="2"/>
        <w:ind w:left="0" w:leftChars="0" w:firstLine="0" w:firstLineChars="0"/>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color w:val="auto"/>
          <w:spacing w:val="0"/>
          <w:sz w:val="44"/>
          <w:szCs w:val="44"/>
          <w:highlight w:val="none"/>
        </w:rPr>
        <w:t>关于印发</w:t>
      </w:r>
      <w:r>
        <w:rPr>
          <w:rFonts w:hint="eastAsia" w:ascii="方正小标宋简体" w:hAnsi="方正小标宋简体" w:eastAsia="方正小标宋简体" w:cs="方正小标宋简体"/>
          <w:spacing w:val="0"/>
          <w:sz w:val="44"/>
          <w:szCs w:val="44"/>
        </w:rPr>
        <w:t>第</w:t>
      </w:r>
      <w:r>
        <w:rPr>
          <w:rFonts w:hint="eastAsia" w:ascii="方正小标宋简体" w:hAnsi="方正小标宋简体" w:eastAsia="方正小标宋简体" w:cs="方正小标宋简体"/>
          <w:spacing w:val="0"/>
          <w:sz w:val="44"/>
          <w:szCs w:val="44"/>
          <w:lang w:val="en-US" w:eastAsia="zh-CN"/>
        </w:rPr>
        <w:t>九</w:t>
      </w:r>
      <w:r>
        <w:rPr>
          <w:rFonts w:hint="eastAsia" w:ascii="方正小标宋简体" w:hAnsi="方正小标宋简体" w:eastAsia="方正小标宋简体" w:cs="方正小标宋简体"/>
          <w:spacing w:val="0"/>
          <w:sz w:val="44"/>
          <w:szCs w:val="44"/>
        </w:rPr>
        <w:t>届“深圳好</w:t>
      </w:r>
      <w:r>
        <w:rPr>
          <w:rFonts w:hint="eastAsia" w:ascii="方正小标宋简体" w:hAnsi="方正小标宋简体" w:eastAsia="方正小标宋简体" w:cs="方正小标宋简体"/>
          <w:spacing w:val="0"/>
          <w:sz w:val="44"/>
          <w:szCs w:val="44"/>
          <w:lang w:eastAsia="zh-CN"/>
        </w:rPr>
        <w:t>技</w:t>
      </w:r>
      <w:r>
        <w:rPr>
          <w:rFonts w:hint="eastAsia" w:ascii="方正小标宋简体" w:hAnsi="方正小标宋简体" w:eastAsia="方正小标宋简体" w:cs="方正小标宋简体"/>
          <w:spacing w:val="0"/>
          <w:sz w:val="44"/>
          <w:szCs w:val="44"/>
        </w:rPr>
        <w:t>师”</w:t>
      </w:r>
      <w:r>
        <w:rPr>
          <w:rFonts w:hint="eastAsia" w:ascii="方正小标宋简体" w:hAnsi="方正小标宋简体" w:eastAsia="方正小标宋简体" w:cs="方正小标宋简体"/>
          <w:spacing w:val="0"/>
          <w:sz w:val="44"/>
          <w:szCs w:val="44"/>
          <w:lang w:val="en-US" w:eastAsia="zh-CN"/>
        </w:rPr>
        <w:t>系列大赛</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pacing w:val="0"/>
          <w:sz w:val="44"/>
          <w:szCs w:val="44"/>
          <w:highlight w:val="none"/>
        </w:rPr>
      </w:pPr>
      <w:r>
        <w:rPr>
          <w:rFonts w:hint="eastAsia" w:ascii="方正小标宋简体" w:hAnsi="方正小标宋简体" w:eastAsia="方正小标宋简体" w:cs="方正小标宋简体"/>
          <w:spacing w:val="0"/>
          <w:sz w:val="44"/>
          <w:szCs w:val="44"/>
          <w:lang w:val="en-US" w:eastAsia="zh-CN"/>
        </w:rPr>
        <w:t>活动-中式烹调师</w:t>
      </w:r>
      <w:r>
        <w:rPr>
          <w:rFonts w:hint="eastAsia" w:ascii="方正小标宋简体" w:hAnsi="方正小标宋简体" w:eastAsia="方正小标宋简体" w:cs="方正小标宋简体"/>
          <w:spacing w:val="0"/>
          <w:sz w:val="44"/>
          <w:szCs w:val="44"/>
        </w:rPr>
        <w:t>项目</w:t>
      </w:r>
      <w:r>
        <w:rPr>
          <w:rFonts w:hint="eastAsia" w:ascii="方正小标宋简体" w:hAnsi="方正小标宋简体" w:eastAsia="方正小标宋简体" w:cs="方正小标宋简体"/>
          <w:color w:val="auto"/>
          <w:spacing w:val="0"/>
          <w:sz w:val="44"/>
          <w:szCs w:val="44"/>
          <w:highlight w:val="none"/>
        </w:rPr>
        <w:t>实施方案和技术</w:t>
      </w:r>
      <w:r>
        <w:rPr>
          <w:rFonts w:hint="eastAsia" w:ascii="方正小标宋简体" w:hAnsi="方正小标宋简体" w:eastAsia="方正小标宋简体" w:cs="方正小标宋简体"/>
          <w:color w:val="auto"/>
          <w:spacing w:val="0"/>
          <w:sz w:val="44"/>
          <w:szCs w:val="44"/>
          <w:highlight w:val="none"/>
          <w:lang w:val="en-US" w:eastAsia="zh-CN"/>
        </w:rPr>
        <w:t>文件</w:t>
      </w:r>
      <w:r>
        <w:rPr>
          <w:rFonts w:hint="eastAsia" w:ascii="方正小标宋简体" w:hAnsi="方正小标宋简体" w:eastAsia="方正小标宋简体" w:cs="方正小标宋简体"/>
          <w:color w:val="auto"/>
          <w:spacing w:val="0"/>
          <w:sz w:val="44"/>
          <w:szCs w:val="44"/>
          <w:highlight w:val="none"/>
        </w:rPr>
        <w:t>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color w:val="auto"/>
          <w:spacing w:val="0"/>
          <w:sz w:val="32"/>
          <w:szCs w:val="20"/>
          <w:highlight w:val="none"/>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color w:val="auto"/>
          <w:spacing w:val="0"/>
          <w:sz w:val="32"/>
          <w:szCs w:val="32"/>
          <w:highlight w:val="none"/>
        </w:rPr>
        <w:t>各有关单位: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color w:val="auto"/>
          <w:spacing w:val="0"/>
          <w:sz w:val="32"/>
          <w:szCs w:val="32"/>
          <w:highlight w:val="none"/>
        </w:rPr>
        <w:t>根据工作安排，决定举办第</w:t>
      </w:r>
      <w:r>
        <w:rPr>
          <w:rFonts w:hint="eastAsia" w:ascii="仿宋_GB2312" w:hAnsi="仿宋_GB2312" w:eastAsia="仿宋_GB2312" w:cs="仿宋_GB2312"/>
          <w:color w:val="auto"/>
          <w:spacing w:val="0"/>
          <w:sz w:val="32"/>
          <w:szCs w:val="32"/>
          <w:highlight w:val="none"/>
          <w:lang w:val="en-US" w:eastAsia="zh-CN"/>
        </w:rPr>
        <w:t>九</w:t>
      </w:r>
      <w:r>
        <w:rPr>
          <w:rFonts w:hint="eastAsia" w:ascii="仿宋_GB2312" w:hAnsi="仿宋_GB2312" w:eastAsia="仿宋_GB2312" w:cs="仿宋_GB2312"/>
          <w:color w:val="auto"/>
          <w:spacing w:val="0"/>
          <w:sz w:val="32"/>
          <w:szCs w:val="32"/>
          <w:highlight w:val="none"/>
        </w:rPr>
        <w:t>届“深圳好</w:t>
      </w:r>
      <w:r>
        <w:rPr>
          <w:rFonts w:hint="eastAsia" w:ascii="仿宋_GB2312" w:hAnsi="仿宋_GB2312" w:eastAsia="仿宋_GB2312" w:cs="仿宋_GB2312"/>
          <w:color w:val="auto"/>
          <w:spacing w:val="0"/>
          <w:sz w:val="32"/>
          <w:szCs w:val="32"/>
          <w:highlight w:val="none"/>
          <w:lang w:eastAsia="zh-CN"/>
        </w:rPr>
        <w:t>技</w:t>
      </w:r>
      <w:r>
        <w:rPr>
          <w:rFonts w:hint="eastAsia" w:ascii="仿宋_GB2312" w:hAnsi="仿宋_GB2312" w:eastAsia="仿宋_GB2312" w:cs="仿宋_GB2312"/>
          <w:color w:val="auto"/>
          <w:spacing w:val="0"/>
          <w:sz w:val="32"/>
          <w:szCs w:val="32"/>
          <w:highlight w:val="none"/>
        </w:rPr>
        <w:t>师”</w:t>
      </w:r>
      <w:r>
        <w:rPr>
          <w:rFonts w:hint="eastAsia" w:ascii="仿宋_GB2312" w:hAnsi="仿宋_GB2312" w:eastAsia="仿宋_GB2312" w:cs="仿宋_GB2312"/>
          <w:color w:val="auto"/>
          <w:spacing w:val="0"/>
          <w:sz w:val="32"/>
          <w:szCs w:val="32"/>
          <w:highlight w:val="none"/>
          <w:lang w:val="en-US" w:eastAsia="zh-CN"/>
        </w:rPr>
        <w:t>系列大赛活动—中式烹调师</w:t>
      </w:r>
      <w:r>
        <w:rPr>
          <w:rFonts w:hint="eastAsia" w:ascii="仿宋_GB2312" w:hAnsi="仿宋_GB2312" w:eastAsia="仿宋_GB2312" w:cs="仿宋_GB2312"/>
          <w:color w:val="auto"/>
          <w:spacing w:val="0"/>
          <w:sz w:val="32"/>
          <w:szCs w:val="32"/>
          <w:highlight w:val="none"/>
        </w:rPr>
        <w:t>项目竞赛，现将竞赛实施方案</w:t>
      </w:r>
      <w:r>
        <w:rPr>
          <w:rFonts w:hint="eastAsia" w:ascii="仿宋_GB2312" w:hAnsi="仿宋_GB2312" w:eastAsia="仿宋_GB2312" w:cs="仿宋_GB2312"/>
          <w:color w:val="auto"/>
          <w:spacing w:val="0"/>
          <w:sz w:val="32"/>
          <w:szCs w:val="32"/>
          <w:highlight w:val="none"/>
          <w:lang w:eastAsia="zh-CN"/>
        </w:rPr>
        <w:t>（见附件</w:t>
      </w:r>
      <w:r>
        <w:rPr>
          <w:rFonts w:hint="eastAsia" w:ascii="仿宋_GB2312" w:hAnsi="仿宋_GB2312" w:eastAsia="仿宋_GB2312" w:cs="仿宋_GB2312"/>
          <w:color w:val="auto"/>
          <w:spacing w:val="0"/>
          <w:sz w:val="32"/>
          <w:szCs w:val="32"/>
          <w:highlight w:val="none"/>
          <w:lang w:val="en-US" w:eastAsia="zh-CN"/>
        </w:rPr>
        <w:t>1</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和技术</w:t>
      </w:r>
      <w:r>
        <w:rPr>
          <w:rFonts w:hint="eastAsia" w:ascii="仿宋_GB2312" w:hAnsi="仿宋_GB2312" w:eastAsia="仿宋_GB2312" w:cs="仿宋_GB2312"/>
          <w:color w:val="auto"/>
          <w:spacing w:val="0"/>
          <w:sz w:val="32"/>
          <w:szCs w:val="32"/>
          <w:highlight w:val="none"/>
          <w:lang w:val="en-US" w:eastAsia="zh-CN"/>
        </w:rPr>
        <w:t>文件</w:t>
      </w:r>
      <w:r>
        <w:rPr>
          <w:rFonts w:hint="eastAsia" w:ascii="仿宋_GB2312" w:hAnsi="仿宋_GB2312" w:eastAsia="仿宋_GB2312" w:cs="仿宋_GB2312"/>
          <w:color w:val="auto"/>
          <w:spacing w:val="0"/>
          <w:sz w:val="32"/>
          <w:szCs w:val="32"/>
          <w:highlight w:val="none"/>
          <w:lang w:eastAsia="zh-CN"/>
        </w:rPr>
        <w:t>（见附件</w:t>
      </w:r>
      <w:r>
        <w:rPr>
          <w:rFonts w:hint="eastAsia" w:ascii="仿宋_GB2312" w:hAnsi="仿宋_GB2312" w:eastAsia="仿宋_GB2312" w:cs="仿宋_GB2312"/>
          <w:color w:val="auto"/>
          <w:spacing w:val="0"/>
          <w:sz w:val="32"/>
          <w:szCs w:val="32"/>
          <w:highlight w:val="none"/>
          <w:lang w:val="en-US" w:eastAsia="zh-CN"/>
        </w:rPr>
        <w:t>2</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印发</w:t>
      </w:r>
      <w:r>
        <w:rPr>
          <w:rFonts w:hint="eastAsia" w:ascii="仿宋_GB2312" w:hAnsi="仿宋_GB2312" w:eastAsia="仿宋_GB2312" w:cs="仿宋_GB2312"/>
          <w:color w:val="auto"/>
          <w:spacing w:val="0"/>
          <w:sz w:val="32"/>
          <w:szCs w:val="32"/>
          <w:highlight w:val="none"/>
          <w:lang w:eastAsia="zh-CN"/>
        </w:rPr>
        <w:t>给</w:t>
      </w:r>
      <w:r>
        <w:rPr>
          <w:rFonts w:hint="eastAsia" w:ascii="仿宋_GB2312" w:hAnsi="仿宋_GB2312" w:eastAsia="仿宋_GB2312" w:cs="仿宋_GB2312"/>
          <w:color w:val="auto"/>
          <w:spacing w:val="0"/>
          <w:sz w:val="32"/>
          <w:szCs w:val="32"/>
          <w:highlight w:val="none"/>
        </w:rPr>
        <w:t>你们，请遵照执行，发动、组织从业人员参与比赛。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color w:val="auto"/>
          <w:spacing w:val="0"/>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1280" w:hanging="1280" w:hangingChars="400"/>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color w:val="auto"/>
          <w:spacing w:val="0"/>
          <w:sz w:val="32"/>
          <w:szCs w:val="32"/>
          <w:highlight w:val="none"/>
        </w:rPr>
        <w:t>附件</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1.第</w:t>
      </w:r>
      <w:r>
        <w:rPr>
          <w:rFonts w:hint="eastAsia" w:ascii="仿宋_GB2312" w:hAnsi="仿宋_GB2312" w:eastAsia="仿宋_GB2312" w:cs="仿宋_GB2312"/>
          <w:color w:val="auto"/>
          <w:spacing w:val="0"/>
          <w:sz w:val="32"/>
          <w:szCs w:val="32"/>
          <w:highlight w:val="none"/>
          <w:lang w:val="en-US" w:eastAsia="zh-CN"/>
        </w:rPr>
        <w:t>九</w:t>
      </w:r>
      <w:r>
        <w:rPr>
          <w:rFonts w:hint="eastAsia" w:ascii="仿宋_GB2312" w:hAnsi="仿宋_GB2312" w:eastAsia="仿宋_GB2312" w:cs="仿宋_GB2312"/>
          <w:color w:val="auto"/>
          <w:spacing w:val="0"/>
          <w:sz w:val="32"/>
          <w:szCs w:val="32"/>
          <w:highlight w:val="none"/>
        </w:rPr>
        <w:t>届“深圳好</w:t>
      </w:r>
      <w:r>
        <w:rPr>
          <w:rFonts w:hint="eastAsia" w:ascii="仿宋_GB2312" w:hAnsi="仿宋_GB2312" w:eastAsia="仿宋_GB2312" w:cs="仿宋_GB2312"/>
          <w:color w:val="auto"/>
          <w:spacing w:val="0"/>
          <w:sz w:val="32"/>
          <w:szCs w:val="32"/>
          <w:highlight w:val="none"/>
          <w:lang w:eastAsia="zh-CN"/>
        </w:rPr>
        <w:t>技</w:t>
      </w:r>
      <w:r>
        <w:rPr>
          <w:rFonts w:hint="eastAsia" w:ascii="仿宋_GB2312" w:hAnsi="仿宋_GB2312" w:eastAsia="仿宋_GB2312" w:cs="仿宋_GB2312"/>
          <w:color w:val="auto"/>
          <w:spacing w:val="0"/>
          <w:sz w:val="32"/>
          <w:szCs w:val="32"/>
          <w:highlight w:val="none"/>
        </w:rPr>
        <w:t>师”</w:t>
      </w:r>
      <w:r>
        <w:rPr>
          <w:rFonts w:hint="eastAsia" w:ascii="仿宋_GB2312" w:hAnsi="仿宋_GB2312" w:eastAsia="仿宋_GB2312" w:cs="仿宋_GB2312"/>
          <w:color w:val="auto"/>
          <w:spacing w:val="0"/>
          <w:sz w:val="32"/>
          <w:szCs w:val="32"/>
          <w:highlight w:val="none"/>
          <w:lang w:val="en-US" w:eastAsia="zh-CN"/>
        </w:rPr>
        <w:t>系列大赛活动中式烹调师</w:t>
      </w:r>
      <w:r>
        <w:rPr>
          <w:rFonts w:hint="eastAsia" w:ascii="仿宋_GB2312" w:hAnsi="仿宋_GB2312" w:eastAsia="仿宋_GB2312" w:cs="仿宋_GB2312"/>
          <w:color w:val="auto"/>
          <w:spacing w:val="0"/>
          <w:sz w:val="32"/>
          <w:szCs w:val="32"/>
          <w:highlight w:val="none"/>
        </w:rPr>
        <w:t>项目实施方案</w:t>
      </w:r>
    </w:p>
    <w:p>
      <w:pPr>
        <w:keepNext w:val="0"/>
        <w:keepLines w:val="0"/>
        <w:pageBreakBefore w:val="0"/>
        <w:widowControl w:val="0"/>
        <w:kinsoku/>
        <w:wordWrap/>
        <w:overflowPunct/>
        <w:topLinePunct w:val="0"/>
        <w:autoSpaceDE/>
        <w:autoSpaceDN/>
        <w:bidi w:val="0"/>
        <w:adjustRightInd/>
        <w:snapToGrid/>
        <w:spacing w:line="580" w:lineRule="exact"/>
        <w:ind w:left="1278" w:leftChars="456" w:hanging="320" w:hangingChars="100"/>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rPr>
        <w:t>2.第</w:t>
      </w:r>
      <w:r>
        <w:rPr>
          <w:rFonts w:hint="eastAsia" w:ascii="仿宋_GB2312" w:hAnsi="仿宋_GB2312" w:eastAsia="仿宋_GB2312" w:cs="仿宋_GB2312"/>
          <w:color w:val="auto"/>
          <w:spacing w:val="0"/>
          <w:sz w:val="32"/>
          <w:szCs w:val="32"/>
          <w:highlight w:val="none"/>
          <w:lang w:val="en-US" w:eastAsia="zh-CN"/>
        </w:rPr>
        <w:t>九</w:t>
      </w:r>
      <w:r>
        <w:rPr>
          <w:rFonts w:hint="eastAsia" w:ascii="仿宋_GB2312" w:hAnsi="仿宋_GB2312" w:eastAsia="仿宋_GB2312" w:cs="仿宋_GB2312"/>
          <w:color w:val="auto"/>
          <w:spacing w:val="0"/>
          <w:sz w:val="32"/>
          <w:szCs w:val="32"/>
          <w:highlight w:val="none"/>
        </w:rPr>
        <w:t>届“深圳好</w:t>
      </w:r>
      <w:r>
        <w:rPr>
          <w:rFonts w:hint="eastAsia" w:ascii="仿宋_GB2312" w:hAnsi="仿宋_GB2312" w:eastAsia="仿宋_GB2312" w:cs="仿宋_GB2312"/>
          <w:color w:val="auto"/>
          <w:spacing w:val="0"/>
          <w:sz w:val="32"/>
          <w:szCs w:val="32"/>
          <w:highlight w:val="none"/>
          <w:lang w:eastAsia="zh-CN"/>
        </w:rPr>
        <w:t>技</w:t>
      </w:r>
      <w:r>
        <w:rPr>
          <w:rFonts w:hint="eastAsia" w:ascii="仿宋_GB2312" w:hAnsi="仿宋_GB2312" w:eastAsia="仿宋_GB2312" w:cs="仿宋_GB2312"/>
          <w:color w:val="auto"/>
          <w:spacing w:val="0"/>
          <w:sz w:val="32"/>
          <w:szCs w:val="32"/>
          <w:highlight w:val="none"/>
        </w:rPr>
        <w:t>师”</w:t>
      </w:r>
      <w:r>
        <w:rPr>
          <w:rFonts w:hint="eastAsia" w:ascii="仿宋_GB2312" w:hAnsi="仿宋_GB2312" w:eastAsia="仿宋_GB2312" w:cs="仿宋_GB2312"/>
          <w:color w:val="auto"/>
          <w:spacing w:val="0"/>
          <w:sz w:val="32"/>
          <w:szCs w:val="32"/>
          <w:highlight w:val="none"/>
          <w:lang w:val="en-US" w:eastAsia="zh-CN"/>
        </w:rPr>
        <w:t>系列大赛活动中式烹调师</w:t>
      </w:r>
      <w:r>
        <w:rPr>
          <w:rFonts w:hint="eastAsia" w:ascii="仿宋_GB2312" w:hAnsi="仿宋_GB2312" w:eastAsia="仿宋_GB2312" w:cs="仿宋_GB2312"/>
          <w:color w:val="auto"/>
          <w:spacing w:val="0"/>
          <w:sz w:val="32"/>
          <w:szCs w:val="32"/>
          <w:highlight w:val="none"/>
        </w:rPr>
        <w:t>项目</w:t>
      </w:r>
      <w:r>
        <w:rPr>
          <w:rFonts w:hint="eastAsia" w:ascii="仿宋_GB2312" w:hAnsi="仿宋_GB2312" w:eastAsia="仿宋_GB2312" w:cs="仿宋_GB2312"/>
          <w:color w:val="auto"/>
          <w:spacing w:val="0"/>
          <w:sz w:val="32"/>
          <w:szCs w:val="32"/>
          <w:highlight w:val="none"/>
          <w:lang w:val="en-US" w:eastAsia="zh-CN"/>
        </w:rPr>
        <w:t>技术文件</w:t>
      </w:r>
    </w:p>
    <w:p>
      <w:pPr>
        <w:keepNext w:val="0"/>
        <w:keepLines w:val="0"/>
        <w:pageBreakBefore w:val="0"/>
        <w:widowControl w:val="0"/>
        <w:kinsoku/>
        <w:overflowPunct/>
        <w:topLinePunct w:val="0"/>
        <w:autoSpaceDE/>
        <w:autoSpaceDN/>
        <w:bidi w:val="0"/>
        <w:adjustRightInd w:val="0"/>
        <w:snapToGrid w:val="0"/>
        <w:spacing w:line="580" w:lineRule="exact"/>
        <w:jc w:val="both"/>
        <w:textAlignment w:val="auto"/>
        <w:rPr>
          <w:rFonts w:hint="eastAsia" w:ascii="黑体" w:hAnsi="黑体" w:eastAsia="黑体" w:cs="黑体"/>
          <w:color w:val="auto"/>
          <w:sz w:val="32"/>
          <w:szCs w:val="32"/>
          <w:highlight w:val="none"/>
          <w:lang w:val="en-US" w:eastAsia="zh-CN"/>
        </w:rPr>
      </w:pPr>
    </w:p>
    <w:p>
      <w:pPr>
        <w:keepNext w:val="0"/>
        <w:keepLines w:val="0"/>
        <w:pageBreakBefore w:val="0"/>
        <w:widowControl w:val="0"/>
        <w:kinsoku/>
        <w:overflowPunct/>
        <w:topLinePunct w:val="0"/>
        <w:autoSpaceDE/>
        <w:autoSpaceDN/>
        <w:bidi w:val="0"/>
        <w:adjustRightInd w:val="0"/>
        <w:snapToGrid w:val="0"/>
        <w:spacing w:line="580" w:lineRule="exact"/>
        <w:jc w:val="center"/>
        <w:textAlignment w:val="auto"/>
        <w:rPr>
          <w:rFonts w:hint="eastAsia" w:ascii="方正小标宋简体" w:hAnsi="黑体" w:eastAsia="方正小标宋简体"/>
          <w:color w:val="auto"/>
          <w:sz w:val="44"/>
          <w:szCs w:val="44"/>
          <w:highlight w:val="none"/>
          <w:lang w:val="en-US" w:eastAsia="zh-CN"/>
        </w:rPr>
      </w:pPr>
    </w:p>
    <w:p>
      <w:pPr>
        <w:keepNext w:val="0"/>
        <w:keepLines w:val="0"/>
        <w:pageBreakBefore w:val="0"/>
        <w:widowControl w:val="0"/>
        <w:kinsoku/>
        <w:overflowPunct/>
        <w:topLinePunct w:val="0"/>
        <w:autoSpaceDE/>
        <w:autoSpaceDN/>
        <w:bidi w:val="0"/>
        <w:adjustRightInd w:val="0"/>
        <w:snapToGrid w:val="0"/>
        <w:spacing w:line="580" w:lineRule="exact"/>
        <w:jc w:val="center"/>
        <w:textAlignment w:val="auto"/>
        <w:rPr>
          <w:rFonts w:hint="eastAsia" w:ascii="方正小标宋简体" w:hAnsi="黑体" w:eastAsia="方正小标宋简体"/>
          <w:color w:val="auto"/>
          <w:sz w:val="44"/>
          <w:szCs w:val="44"/>
          <w:highlight w:val="none"/>
          <w:lang w:val="en-US" w:eastAsia="zh-CN"/>
        </w:rPr>
      </w:pPr>
    </w:p>
    <w:p>
      <w:pPr>
        <w:keepNext w:val="0"/>
        <w:keepLines w:val="0"/>
        <w:pageBreakBefore w:val="0"/>
        <w:widowControl w:val="0"/>
        <w:kinsoku/>
        <w:overflowPunct/>
        <w:topLinePunct w:val="0"/>
        <w:autoSpaceDE/>
        <w:autoSpaceDN/>
        <w:bidi w:val="0"/>
        <w:adjustRightInd w:val="0"/>
        <w:snapToGrid w:val="0"/>
        <w:spacing w:line="580" w:lineRule="exact"/>
        <w:jc w:val="center"/>
        <w:textAlignment w:val="auto"/>
        <w:rPr>
          <w:rFonts w:hint="eastAsia" w:ascii="方正小标宋简体" w:hAnsi="黑体" w:eastAsia="方正小标宋简体"/>
          <w:color w:val="auto"/>
          <w:sz w:val="44"/>
          <w:szCs w:val="44"/>
          <w:highlight w:val="none"/>
          <w:lang w:val="en-US" w:eastAsia="zh-CN"/>
        </w:rPr>
      </w:pPr>
    </w:p>
    <w:p>
      <w:pPr>
        <w:keepNext w:val="0"/>
        <w:keepLines w:val="0"/>
        <w:pageBreakBefore w:val="0"/>
        <w:tabs>
          <w:tab w:val="left" w:pos="5460"/>
        </w:tabs>
        <w:kinsoku/>
        <w:wordWrap/>
        <w:overflowPunct/>
        <w:topLinePunct w:val="0"/>
        <w:autoSpaceDE/>
        <w:autoSpaceDN/>
        <w:bidi w:val="0"/>
        <w:adjustRightInd/>
        <w:snapToGrid/>
        <w:spacing w:line="580" w:lineRule="exact"/>
        <w:ind w:firstLine="566" w:firstLineChars="177"/>
        <w:jc w:val="right"/>
        <w:textAlignment w:val="auto"/>
        <w:rPr>
          <w:rFonts w:ascii="仿宋_GB2312" w:hAnsi="仿宋" w:eastAsia="仿宋_GB2312" w:cs="仿宋"/>
          <w:sz w:val="32"/>
          <w:szCs w:val="32"/>
        </w:rPr>
      </w:pPr>
      <w:r>
        <w:rPr>
          <w:rFonts w:hint="eastAsia" w:ascii="仿宋_GB2312" w:hAnsi="仿宋" w:eastAsia="仿宋_GB2312" w:cs="仿宋"/>
          <w:sz w:val="32"/>
          <w:szCs w:val="32"/>
        </w:rPr>
        <w:t>深圳好技师好讲师系列活动组委会</w:t>
      </w:r>
    </w:p>
    <w:p>
      <w:pPr>
        <w:keepNext w:val="0"/>
        <w:keepLines w:val="0"/>
        <w:pageBreakBefore w:val="0"/>
        <w:tabs>
          <w:tab w:val="left" w:pos="5460"/>
        </w:tabs>
        <w:kinsoku/>
        <w:wordWrap/>
        <w:overflowPunct/>
        <w:topLinePunct w:val="0"/>
        <w:autoSpaceDE/>
        <w:autoSpaceDN/>
        <w:bidi w:val="0"/>
        <w:adjustRightInd/>
        <w:snapToGrid/>
        <w:spacing w:line="580" w:lineRule="exact"/>
        <w:ind w:right="1280" w:firstLine="5360" w:firstLineChars="1675"/>
        <w:textAlignment w:val="auto"/>
        <w:rPr>
          <w:rFonts w:ascii="仿宋_GB2312" w:hAnsi="仿宋" w:eastAsia="仿宋_GB2312" w:cs="仿宋"/>
          <w:sz w:val="32"/>
          <w:szCs w:val="32"/>
        </w:rPr>
      </w:pPr>
      <w:r>
        <w:rPr>
          <w:rFonts w:hint="eastAsia" w:ascii="仿宋_GB2312" w:hAnsi="仿宋" w:eastAsia="仿宋_GB2312" w:cs="仿宋"/>
          <w:sz w:val="32"/>
          <w:szCs w:val="32"/>
        </w:rPr>
        <w:t xml:space="preserve">  （代章）</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80" w:lineRule="exact"/>
        <w:jc w:val="center"/>
        <w:textAlignment w:val="auto"/>
        <w:rPr>
          <w:rFonts w:ascii="仿宋_GB2312" w:hAnsi="仿宋" w:eastAsia="仿宋_GB2312" w:cs="仿宋"/>
          <w:sz w:val="32"/>
          <w:szCs w:val="32"/>
        </w:rPr>
      </w:pPr>
      <w:r>
        <w:rPr>
          <w:rFonts w:hint="eastAsia" w:ascii="仿宋_GB2312" w:hAnsi="仿宋" w:eastAsia="仿宋_GB2312" w:cs="仿宋"/>
          <w:sz w:val="32"/>
          <w:szCs w:val="32"/>
        </w:rPr>
        <w:t xml:space="preserve">                        202</w:t>
      </w: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年</w:t>
      </w:r>
      <w:r>
        <w:rPr>
          <w:rFonts w:hint="eastAsia" w:ascii="仿宋_GB2312" w:hAnsi="仿宋" w:eastAsia="仿宋_GB2312" w:cs="仿宋"/>
          <w:sz w:val="32"/>
          <w:szCs w:val="32"/>
          <w:lang w:val="en-US" w:eastAsia="zh-CN"/>
        </w:rPr>
        <w:t>9</w:t>
      </w:r>
      <w:r>
        <w:rPr>
          <w:rFonts w:hint="eastAsia" w:ascii="仿宋_GB2312" w:hAnsi="仿宋" w:eastAsia="仿宋_GB2312" w:cs="仿宋"/>
          <w:sz w:val="32"/>
          <w:szCs w:val="32"/>
        </w:rPr>
        <w:t>月</w:t>
      </w:r>
      <w:r>
        <w:rPr>
          <w:rFonts w:hint="eastAsia" w:ascii="仿宋_GB2312" w:hAnsi="仿宋" w:eastAsia="仿宋_GB2312" w:cs="仿宋"/>
          <w:sz w:val="32"/>
          <w:szCs w:val="32"/>
          <w:lang w:val="en-US" w:eastAsia="zh-CN"/>
        </w:rPr>
        <w:t>21</w:t>
      </w:r>
      <w:r>
        <w:rPr>
          <w:rFonts w:hint="eastAsia" w:ascii="仿宋_GB2312" w:hAnsi="仿宋" w:eastAsia="仿宋_GB2312" w:cs="仿宋"/>
          <w:sz w:val="32"/>
          <w:szCs w:val="32"/>
        </w:rPr>
        <w:t>日</w:t>
      </w:r>
    </w:p>
    <w:p>
      <w:pPr>
        <w:keepNext w:val="0"/>
        <w:keepLines w:val="0"/>
        <w:pageBreakBefore w:val="0"/>
        <w:kinsoku/>
        <w:overflowPunct/>
        <w:topLinePunct w:val="0"/>
        <w:autoSpaceDE/>
        <w:autoSpaceDN/>
        <w:bidi w:val="0"/>
        <w:spacing w:line="580" w:lineRule="exact"/>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 w:eastAsia="仿宋_GB2312" w:cs="仿宋"/>
          <w:sz w:val="32"/>
          <w:szCs w:val="32"/>
          <w:lang w:val="en-US" w:eastAsia="zh-CN"/>
        </w:rPr>
      </w:pPr>
    </w:p>
    <w:p>
      <w:pPr>
        <w:keepNext w:val="0"/>
        <w:keepLines w:val="0"/>
        <w:pageBreakBefore w:val="0"/>
        <w:kinsoku/>
        <w:overflowPunct/>
        <w:topLinePunct w:val="0"/>
        <w:autoSpaceDE/>
        <w:autoSpaceDN/>
        <w:bidi w:val="0"/>
        <w:adjustRightInd w:val="0"/>
        <w:snapToGrid w:val="0"/>
        <w:spacing w:line="580" w:lineRule="exact"/>
        <w:rPr>
          <w:rFonts w:ascii="黑体" w:hAnsi="黑体" w:eastAsia="黑体" w:cs="黑体"/>
          <w:color w:val="000000"/>
          <w:sz w:val="32"/>
          <w:szCs w:val="32"/>
        </w:rPr>
      </w:pPr>
      <w:r>
        <w:rPr>
          <w:rFonts w:hint="eastAsia" w:ascii="黑体" w:hAnsi="黑体" w:eastAsia="黑体" w:cs="黑体"/>
          <w:color w:val="000000"/>
          <w:sz w:val="32"/>
          <w:szCs w:val="32"/>
        </w:rPr>
        <w:t>附件1</w:t>
      </w:r>
    </w:p>
    <w:p>
      <w:pPr>
        <w:keepNext w:val="0"/>
        <w:keepLines w:val="0"/>
        <w:pageBreakBefore w:val="0"/>
        <w:kinsoku/>
        <w:overflowPunct/>
        <w:topLinePunct w:val="0"/>
        <w:autoSpaceDE/>
        <w:autoSpaceDN/>
        <w:bidi w:val="0"/>
        <w:spacing w:line="580" w:lineRule="exact"/>
      </w:pPr>
    </w:p>
    <w:p>
      <w:pPr>
        <w:keepNext w:val="0"/>
        <w:keepLines w:val="0"/>
        <w:pageBreakBefore w:val="0"/>
        <w:widowControl w:val="0"/>
        <w:kinsoku/>
        <w:wordWrap/>
        <w:overflowPunct/>
        <w:topLinePunct w:val="0"/>
        <w:autoSpaceDE/>
        <w:autoSpaceDN/>
        <w:bidi w:val="0"/>
        <w:adjustRightInd/>
        <w:snapToGrid/>
        <w:spacing w:line="580" w:lineRule="exact"/>
        <w:ind w:left="1760" w:hanging="1760" w:hangingChars="400"/>
        <w:jc w:val="center"/>
        <w:textAlignment w:val="auto"/>
        <w:rPr>
          <w:rFonts w:hint="eastAsia" w:ascii="方正小标宋简体" w:hAnsi="宋体" w:eastAsia="方正小标宋简体"/>
          <w:color w:val="auto"/>
          <w:sz w:val="44"/>
          <w:szCs w:val="44"/>
          <w:highlight w:val="none"/>
          <w:lang w:val="en-US" w:eastAsia="zh-CN"/>
        </w:rPr>
      </w:pPr>
      <w:r>
        <w:rPr>
          <w:rFonts w:hint="eastAsia" w:ascii="方正小标宋简体" w:hAnsi="宋体" w:eastAsia="方正小标宋简体"/>
          <w:color w:val="auto"/>
          <w:sz w:val="44"/>
          <w:szCs w:val="44"/>
          <w:highlight w:val="none"/>
          <w:lang w:val="en-US" w:eastAsia="zh-CN"/>
        </w:rPr>
        <w:t>第九届“深圳好技师”系列大赛活动—</w:t>
      </w:r>
    </w:p>
    <w:p>
      <w:pPr>
        <w:keepNext w:val="0"/>
        <w:keepLines w:val="0"/>
        <w:pageBreakBefore w:val="0"/>
        <w:widowControl w:val="0"/>
        <w:kinsoku/>
        <w:wordWrap/>
        <w:overflowPunct/>
        <w:topLinePunct w:val="0"/>
        <w:autoSpaceDE/>
        <w:autoSpaceDN/>
        <w:bidi w:val="0"/>
        <w:adjustRightInd/>
        <w:snapToGrid/>
        <w:spacing w:line="580" w:lineRule="exact"/>
        <w:ind w:left="1760" w:hanging="1760" w:hangingChars="400"/>
        <w:jc w:val="center"/>
        <w:textAlignment w:val="auto"/>
        <w:rPr>
          <w:rFonts w:hint="eastAsia" w:ascii="方正小标宋简体" w:hAnsi="宋体" w:eastAsia="方正小标宋简体"/>
          <w:color w:val="auto"/>
          <w:sz w:val="44"/>
          <w:szCs w:val="44"/>
          <w:highlight w:val="none"/>
          <w:lang w:val="en-US" w:eastAsia="zh-CN"/>
        </w:rPr>
      </w:pPr>
      <w:r>
        <w:rPr>
          <w:rFonts w:hint="eastAsia" w:ascii="方正小标宋简体" w:hAnsi="宋体" w:eastAsia="方正小标宋简体"/>
          <w:color w:val="auto"/>
          <w:sz w:val="44"/>
          <w:szCs w:val="44"/>
          <w:highlight w:val="none"/>
          <w:lang w:val="en-US" w:eastAsia="zh-CN"/>
        </w:rPr>
        <w:t>中式烹调师项目实施方案</w:t>
      </w:r>
    </w:p>
    <w:p>
      <w:pPr>
        <w:pStyle w:val="2"/>
        <w:rPr>
          <w:rFonts w:hint="eastAsia"/>
          <w:lang w:val="en-US" w:eastAsia="zh-CN"/>
        </w:rPr>
      </w:pP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黑体" w:hAnsi="黑体" w:eastAsia="黑体" w:cs="黑体"/>
          <w:bCs/>
          <w:sz w:val="32"/>
          <w:szCs w:val="32"/>
        </w:rPr>
      </w:pPr>
      <w:r>
        <w:rPr>
          <w:rFonts w:hint="eastAsia" w:ascii="仿宋_GB2312" w:hAnsi="仿宋_GB2312" w:eastAsia="仿宋_GB2312" w:cs="仿宋_GB2312"/>
          <w:color w:val="auto"/>
          <w:sz w:val="32"/>
          <w:szCs w:val="32"/>
        </w:rPr>
        <w:t xml:space="preserve"> 为充分发挥职业技能竞赛在促进技能人才培养、推动职业技能培训和弘扬工匠精神的重要作用，激发广大劳动者爱岗敬业、钻研技术、勇于创新的积极性和主动性，由深圳市职工教育和职业培训协会主办，</w:t>
      </w:r>
      <w:r>
        <w:rPr>
          <w:rFonts w:hint="eastAsia" w:ascii="仿宋_GB2312" w:hAnsi="仿宋_GB2312" w:eastAsia="仿宋_GB2312" w:cs="仿宋_GB2312"/>
          <w:sz w:val="32"/>
          <w:szCs w:val="32"/>
        </w:rPr>
        <w:t>深圳市烹饪协会</w:t>
      </w:r>
      <w:r>
        <w:rPr>
          <w:rFonts w:hint="eastAsia" w:ascii="仿宋_GB2312" w:hAnsi="仿宋_GB2312" w:eastAsia="仿宋_GB2312" w:cs="仿宋_GB2312"/>
          <w:color w:val="auto"/>
          <w:sz w:val="32"/>
          <w:szCs w:val="32"/>
        </w:rPr>
        <w:t>承办，开展第</w:t>
      </w:r>
      <w:r>
        <w:rPr>
          <w:rFonts w:hint="eastAsia" w:ascii="仿宋_GB2312" w:hAnsi="仿宋_GB2312" w:eastAsia="仿宋_GB2312" w:cs="仿宋_GB2312"/>
          <w:color w:val="auto"/>
          <w:sz w:val="32"/>
          <w:szCs w:val="32"/>
          <w:lang w:val="en-US" w:eastAsia="zh-CN"/>
        </w:rPr>
        <w:t>九</w:t>
      </w:r>
      <w:r>
        <w:rPr>
          <w:rFonts w:hint="eastAsia" w:ascii="仿宋_GB2312" w:hAnsi="仿宋_GB2312" w:eastAsia="仿宋_GB2312" w:cs="仿宋_GB2312"/>
          <w:color w:val="auto"/>
          <w:sz w:val="32"/>
          <w:szCs w:val="32"/>
        </w:rPr>
        <w:t>届“深圳好技师”——</w:t>
      </w:r>
      <w:r>
        <w:rPr>
          <w:rFonts w:hint="eastAsia" w:ascii="仿宋_GB2312" w:hAnsi="仿宋_GB2312" w:eastAsia="仿宋_GB2312" w:cs="仿宋_GB2312"/>
          <w:color w:val="auto"/>
          <w:sz w:val="32"/>
          <w:szCs w:val="32"/>
          <w:lang w:val="en-US" w:eastAsia="zh-CN"/>
        </w:rPr>
        <w:t>中式烹调</w:t>
      </w:r>
      <w:r>
        <w:rPr>
          <w:rFonts w:hint="eastAsia" w:ascii="仿宋_GB2312" w:hAnsi="仿宋_GB2312" w:eastAsia="仿宋_GB2312" w:cs="仿宋_GB2312"/>
          <w:color w:val="auto"/>
          <w:sz w:val="32"/>
          <w:szCs w:val="32"/>
        </w:rPr>
        <w:t>项目竞赛系列大赛活动。</w:t>
      </w:r>
    </w:p>
    <w:p>
      <w:pPr>
        <w:keepNext w:val="0"/>
        <w:keepLines w:val="0"/>
        <w:pageBreakBefore w:val="0"/>
        <w:kinsoku/>
        <w:overflowPunct/>
        <w:topLinePunct w:val="0"/>
        <w:autoSpaceDE/>
        <w:autoSpaceDN/>
        <w:bidi w:val="0"/>
        <w:adjustRightInd w:val="0"/>
        <w:snapToGrid w:val="0"/>
        <w:spacing w:line="580" w:lineRule="exact"/>
        <w:ind w:firstLine="627" w:firstLineChars="196"/>
        <w:rPr>
          <w:rFonts w:ascii="黑体" w:hAnsi="黑体" w:eastAsia="黑体" w:cs="仿宋"/>
          <w:bCs/>
          <w:color w:val="auto"/>
          <w:sz w:val="32"/>
          <w:szCs w:val="32"/>
        </w:rPr>
      </w:pPr>
      <w:r>
        <w:rPr>
          <w:rFonts w:hint="eastAsia" w:ascii="黑体" w:hAnsi="黑体" w:eastAsia="黑体" w:cs="黑体"/>
          <w:color w:val="auto"/>
          <w:sz w:val="32"/>
          <w:szCs w:val="32"/>
        </w:rPr>
        <w:t>一、</w:t>
      </w:r>
      <w:r>
        <w:rPr>
          <w:rFonts w:hint="eastAsia" w:ascii="黑体" w:hAnsi="黑体" w:eastAsia="黑体" w:cs="仿宋"/>
          <w:bCs/>
          <w:color w:val="auto"/>
          <w:sz w:val="32"/>
          <w:szCs w:val="32"/>
        </w:rPr>
        <w:t>组织机构</w:t>
      </w:r>
    </w:p>
    <w:p>
      <w:pPr>
        <w:keepNext w:val="0"/>
        <w:keepLines w:val="0"/>
        <w:pageBreakBefore w:val="0"/>
        <w:kinsoku/>
        <w:overflowPunct/>
        <w:topLinePunct w:val="0"/>
        <w:autoSpaceDE/>
        <w:autoSpaceDN/>
        <w:bidi w:val="0"/>
        <w:spacing w:line="580" w:lineRule="exact"/>
        <w:ind w:firstLine="640" w:firstLineChars="200"/>
        <w:rPr>
          <w:rFonts w:ascii="楷体_GB2312" w:hAnsi="楷体" w:eastAsia="楷体_GB2312"/>
          <w:color w:val="auto"/>
          <w:sz w:val="32"/>
          <w:szCs w:val="32"/>
        </w:rPr>
      </w:pPr>
      <w:r>
        <w:rPr>
          <w:rFonts w:hint="eastAsia" w:ascii="楷体_GB2312" w:hAnsi="楷体" w:eastAsia="楷体_GB2312"/>
          <w:color w:val="auto"/>
          <w:sz w:val="32"/>
          <w:szCs w:val="32"/>
        </w:rPr>
        <w:t>（一）举办单位</w:t>
      </w:r>
    </w:p>
    <w:p>
      <w:pPr>
        <w:keepNext w:val="0"/>
        <w:keepLines w:val="0"/>
        <w:pageBreakBefore w:val="0"/>
        <w:kinsoku/>
        <w:overflowPunct/>
        <w:topLinePunct w:val="0"/>
        <w:autoSpaceDE/>
        <w:autoSpaceDN/>
        <w:bidi w:val="0"/>
        <w:adjustRightInd w:val="0"/>
        <w:snapToGrid w:val="0"/>
        <w:spacing w:line="580" w:lineRule="exact"/>
        <w:ind w:firstLine="627" w:firstLineChars="196"/>
        <w:rPr>
          <w:rFonts w:ascii="仿宋_GB2312" w:hAnsi="仿宋" w:eastAsia="仿宋_GB2312" w:cs="仿宋_GB2312"/>
          <w:color w:val="auto"/>
          <w:sz w:val="32"/>
          <w:szCs w:val="32"/>
        </w:rPr>
      </w:pPr>
      <w:r>
        <w:rPr>
          <w:rFonts w:hint="eastAsia" w:ascii="仿宋_GB2312" w:hAnsi="仿宋" w:eastAsia="仿宋_GB2312" w:cs="仿宋_GB2312"/>
          <w:color w:val="auto"/>
          <w:sz w:val="32"/>
          <w:szCs w:val="32"/>
        </w:rPr>
        <w:t>主办单位：深圳市职工教育和职业培训协会</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 w:eastAsia="仿宋_GB2312" w:cs="仿宋_GB2312"/>
          <w:color w:val="auto"/>
          <w:sz w:val="32"/>
          <w:szCs w:val="32"/>
        </w:rPr>
        <w:t>承办单位：</w:t>
      </w:r>
      <w:r>
        <w:rPr>
          <w:rFonts w:hint="eastAsia" w:ascii="仿宋_GB2312" w:hAnsi="仿宋_GB2312" w:eastAsia="仿宋_GB2312" w:cs="仿宋_GB2312"/>
          <w:sz w:val="32"/>
          <w:szCs w:val="32"/>
        </w:rPr>
        <w:t>深圳市烹饪协会</w:t>
      </w:r>
    </w:p>
    <w:p>
      <w:pPr>
        <w:keepNext w:val="0"/>
        <w:keepLines w:val="0"/>
        <w:pageBreakBefore w:val="0"/>
        <w:kinsoku/>
        <w:wordWrap/>
        <w:overflowPunct/>
        <w:topLinePunct w:val="0"/>
        <w:autoSpaceDE/>
        <w:autoSpaceDN/>
        <w:bidi w:val="0"/>
        <w:spacing w:line="58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深圳市智理技工学校</w:t>
      </w:r>
    </w:p>
    <w:p>
      <w:pPr>
        <w:keepNext w:val="0"/>
        <w:keepLines w:val="0"/>
        <w:pageBreakBefore w:val="0"/>
        <w:kinsoku/>
        <w:overflowPunct/>
        <w:topLinePunct w:val="0"/>
        <w:autoSpaceDE/>
        <w:autoSpaceDN/>
        <w:bidi w:val="0"/>
        <w:spacing w:line="580" w:lineRule="exact"/>
        <w:ind w:firstLine="640" w:firstLineChars="200"/>
        <w:rPr>
          <w:rFonts w:hint="eastAsia" w:ascii="楷体_GB2312" w:hAnsi="楷体" w:eastAsia="楷体_GB2312"/>
          <w:color w:val="auto"/>
          <w:sz w:val="32"/>
          <w:szCs w:val="32"/>
        </w:rPr>
      </w:pPr>
      <w:r>
        <w:rPr>
          <w:rFonts w:hint="eastAsia" w:ascii="楷体_GB2312" w:hAnsi="楷体" w:eastAsia="楷体_GB2312"/>
          <w:color w:val="auto"/>
          <w:sz w:val="32"/>
          <w:szCs w:val="32"/>
        </w:rPr>
        <w:t>（二）竞赛执委会</w:t>
      </w:r>
    </w:p>
    <w:p>
      <w:pPr>
        <w:keepNext w:val="0"/>
        <w:keepLines w:val="0"/>
        <w:pageBreakBefore w:val="0"/>
        <w:kinsoku/>
        <w:overflowPunct/>
        <w:topLinePunct w:val="0"/>
        <w:autoSpaceDE/>
        <w:autoSpaceDN/>
        <w:bidi w:val="0"/>
        <w:adjustRightInd w:val="0"/>
        <w:snapToGrid w:val="0"/>
        <w:spacing w:line="580" w:lineRule="exact"/>
        <w:ind w:firstLine="640" w:firstLineChars="200"/>
        <w:jc w:val="left"/>
        <w:rPr>
          <w:rFonts w:ascii="仿宋_GB2312" w:hAnsi="仿宋" w:eastAsia="仿宋_GB2312" w:cs="仿宋_GB2312"/>
          <w:color w:val="auto"/>
          <w:sz w:val="32"/>
          <w:szCs w:val="32"/>
        </w:rPr>
      </w:pPr>
      <w:r>
        <w:rPr>
          <w:rFonts w:hint="eastAsia" w:ascii="仿宋_GB2312" w:hAnsi="仿宋_GB2312" w:eastAsia="仿宋_GB2312" w:cs="仿宋_GB2312"/>
          <w:color w:val="auto"/>
          <w:sz w:val="32"/>
          <w:szCs w:val="32"/>
        </w:rPr>
        <w:t>成立第</w:t>
      </w:r>
      <w:r>
        <w:rPr>
          <w:rFonts w:hint="eastAsia" w:ascii="仿宋_GB2312" w:hAnsi="仿宋_GB2312" w:eastAsia="仿宋_GB2312" w:cs="仿宋_GB2312"/>
          <w:color w:val="auto"/>
          <w:sz w:val="32"/>
          <w:szCs w:val="32"/>
          <w:lang w:val="en-US" w:eastAsia="zh-CN"/>
        </w:rPr>
        <w:t>九</w:t>
      </w:r>
      <w:r>
        <w:rPr>
          <w:rFonts w:hint="eastAsia" w:ascii="仿宋_GB2312" w:hAnsi="仿宋_GB2312" w:eastAsia="仿宋_GB2312" w:cs="仿宋_GB2312"/>
          <w:color w:val="auto"/>
          <w:sz w:val="32"/>
          <w:szCs w:val="32"/>
        </w:rPr>
        <w:t>届“深圳好技师”系列大赛活动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中式烹调</w:t>
      </w:r>
      <w:r>
        <w:rPr>
          <w:rFonts w:hint="eastAsia" w:ascii="仿宋_GB2312" w:hAnsi="仿宋_GB2312" w:eastAsia="仿宋_GB2312" w:cs="仿宋_GB2312"/>
          <w:color w:val="auto"/>
          <w:sz w:val="32"/>
          <w:szCs w:val="32"/>
        </w:rPr>
        <w:t>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竞赛执行委员会（以下简称“执委会”），负责赛事组织协调、技术实施、后勤服务、健康安全服务保</w:t>
      </w:r>
      <w:r>
        <w:rPr>
          <w:rFonts w:hint="eastAsia" w:ascii="仿宋_GB2312" w:hAnsi="仿宋" w:eastAsia="仿宋_GB2312" w:cs="仿宋_GB2312"/>
          <w:color w:val="auto"/>
          <w:sz w:val="32"/>
          <w:szCs w:val="32"/>
        </w:rPr>
        <w:t>障等工作。执委会成员如下：</w:t>
      </w:r>
    </w:p>
    <w:p>
      <w:pPr>
        <w:keepNext w:val="0"/>
        <w:keepLines w:val="0"/>
        <w:pageBreakBefore w:val="0"/>
        <w:kinsoku/>
        <w:overflowPunct/>
        <w:topLinePunct w:val="0"/>
        <w:autoSpaceDE/>
        <w:autoSpaceDN/>
        <w:bidi w:val="0"/>
        <w:adjustRightInd w:val="0"/>
        <w:snapToGrid w:val="0"/>
        <w:spacing w:line="580" w:lineRule="exact"/>
        <w:ind w:firstLine="320" w:firstLineChars="100"/>
        <w:rPr>
          <w:rFonts w:ascii="仿宋_GB2312" w:hAnsi="仿宋" w:eastAsia="仿宋_GB2312" w:cs="仿宋"/>
          <w:bCs/>
          <w:color w:val="auto"/>
          <w:spacing w:val="-20"/>
          <w:sz w:val="32"/>
          <w:szCs w:val="32"/>
        </w:rPr>
      </w:pPr>
      <w:r>
        <w:rPr>
          <w:rFonts w:hint="eastAsia" w:ascii="仿宋_GB2312" w:hAnsi="仿宋" w:eastAsia="仿宋_GB2312" w:cs="仿宋_GB2312"/>
          <w:color w:val="auto"/>
          <w:sz w:val="32"/>
          <w:szCs w:val="32"/>
        </w:rPr>
        <w:t>主</w:t>
      </w:r>
      <w:r>
        <w:rPr>
          <w:rFonts w:hint="eastAsia" w:ascii="仿宋_GB2312" w:hAnsi="仿宋" w:eastAsia="仿宋_GB2312" w:cs="仿宋_GB2312"/>
          <w:color w:val="auto"/>
          <w:sz w:val="32"/>
          <w:szCs w:val="32"/>
          <w:lang w:val="en-US" w:eastAsia="zh-CN"/>
        </w:rPr>
        <w:t xml:space="preserve">  </w:t>
      </w:r>
      <w:r>
        <w:rPr>
          <w:rFonts w:hint="eastAsia" w:ascii="仿宋_GB2312" w:hAnsi="仿宋" w:eastAsia="仿宋_GB2312" w:cs="仿宋_GB2312"/>
          <w:color w:val="auto"/>
          <w:sz w:val="32"/>
          <w:szCs w:val="32"/>
        </w:rPr>
        <w:t>任</w:t>
      </w:r>
      <w:r>
        <w:rPr>
          <w:rFonts w:ascii="仿宋_GB2312" w:hAnsi="仿宋" w:eastAsia="仿宋_GB2312" w:cs="仿宋_GB2312"/>
          <w:color w:val="auto"/>
          <w:sz w:val="32"/>
          <w:szCs w:val="32"/>
        </w:rPr>
        <w:t>：</w:t>
      </w:r>
      <w:r>
        <w:rPr>
          <w:rFonts w:hint="eastAsia" w:ascii="仿宋_GB2312" w:hAnsi="仿宋" w:eastAsia="仿宋_GB2312" w:cs="仿宋"/>
          <w:bCs/>
          <w:color w:val="auto"/>
          <w:spacing w:val="-20"/>
          <w:sz w:val="32"/>
          <w:szCs w:val="32"/>
        </w:rPr>
        <w:t xml:space="preserve">樊玉林  </w:t>
      </w:r>
      <w:r>
        <w:rPr>
          <w:rFonts w:hint="eastAsia" w:ascii="仿宋_GB2312" w:hAnsi="仿宋" w:eastAsia="仿宋_GB2312" w:cs="仿宋"/>
          <w:bCs/>
          <w:color w:val="auto"/>
          <w:spacing w:val="-20"/>
          <w:sz w:val="32"/>
          <w:szCs w:val="32"/>
          <w:lang w:val="en-US" w:eastAsia="zh-CN"/>
        </w:rPr>
        <w:t xml:space="preserve"> </w:t>
      </w:r>
      <w:r>
        <w:rPr>
          <w:rFonts w:hint="eastAsia" w:ascii="仿宋_GB2312" w:hAnsi="仿宋" w:eastAsia="仿宋_GB2312" w:cs="仿宋"/>
          <w:bCs/>
          <w:color w:val="auto"/>
          <w:spacing w:val="-20"/>
          <w:sz w:val="32"/>
          <w:szCs w:val="32"/>
        </w:rPr>
        <w:t>深圳市职工教育和职业培训协会秘书长</w:t>
      </w:r>
    </w:p>
    <w:p>
      <w:pPr>
        <w:keepNext w:val="0"/>
        <w:keepLines w:val="0"/>
        <w:pageBreakBefore w:val="0"/>
        <w:kinsoku/>
        <w:wordWrap/>
        <w:overflowPunct/>
        <w:topLinePunct w:val="0"/>
        <w:autoSpaceDE/>
        <w:autoSpaceDN/>
        <w:bidi w:val="0"/>
        <w:spacing w:line="580"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副主任</w:t>
      </w:r>
      <w:r>
        <w:rPr>
          <w:rFonts w:hint="eastAsia" w:ascii="仿宋_GB2312" w:hAnsi="仿宋_GB2312" w:eastAsia="仿宋_GB2312" w:cs="仿宋_GB2312"/>
          <w:sz w:val="32"/>
          <w:szCs w:val="32"/>
        </w:rPr>
        <w:t>：刘永忠  深圳市烹饪协会会长</w:t>
      </w:r>
    </w:p>
    <w:p>
      <w:pPr>
        <w:keepNext w:val="0"/>
        <w:keepLines w:val="0"/>
        <w:pageBreakBefore w:val="0"/>
        <w:kinsoku/>
        <w:wordWrap/>
        <w:overflowPunct/>
        <w:topLinePunct w:val="0"/>
        <w:autoSpaceDE/>
        <w:autoSpaceDN/>
        <w:bidi w:val="0"/>
        <w:spacing w:line="58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馗  深圳市智理技工学校副校长</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执委会下设综合部、赛务部、技术部、申诉受理部、后勤保障部。执委会办公室设在福田中心三路深圳国际商会中心22楼(深圳市烹饪协会)。</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m:oMath>
        <m:r>
          <m:rPr>
            <m:sty m:val="p"/>
          </m:rPr>
          <w:rPr>
            <w:rFonts w:hint="eastAsia" w:ascii="Cambria Math" w:hAnsi="Cambria Math" w:eastAsia="仿宋_GB2312" w:cs="仿宋_GB2312"/>
            <w:sz w:val="32"/>
            <w:szCs w:val="32"/>
          </w:rPr>
          <m:t>杨先生</m:t>
        </m:r>
      </m:oMath>
      <w:r>
        <w:rPr>
          <w:rFonts w:hint="eastAsia" w:ascii="仿宋_GB2312" w:hAnsi="仿宋_GB2312" w:eastAsia="仿宋_GB2312" w:cs="仿宋_GB2312"/>
          <w:sz w:val="32"/>
          <w:szCs w:val="32"/>
        </w:rPr>
        <w:t xml:space="preserve"> 13600407301</w:t>
      </w:r>
      <m:oMath>
        <m:r>
          <m:rPr>
            <m:sty m:val="p"/>
          </m:rPr>
          <w:rPr>
            <w:rFonts w:hint="eastAsia" w:ascii="Cambria Math" w:hAnsi="Cambria Math" w:eastAsia="仿宋_GB2312" w:cs="仿宋_GB2312"/>
            <w:sz w:val="32"/>
            <w:szCs w:val="32"/>
          </w:rPr>
          <m:t xml:space="preserve">  骆老师</m:t>
        </m:r>
      </m:oMath>
      <w:r>
        <w:rPr>
          <w:rFonts w:hint="eastAsia" w:ascii="仿宋_GB2312" w:hAnsi="仿宋_GB2312" w:eastAsia="仿宋_GB2312" w:cs="仿宋_GB2312"/>
          <w:sz w:val="32"/>
          <w:szCs w:val="32"/>
        </w:rPr>
        <w:t>15989865240。</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二</w:t>
      </w:r>
      <w:r>
        <w:rPr>
          <w:rFonts w:hint="eastAsia" w:ascii="黑体" w:hAnsi="黑体" w:eastAsia="黑体" w:cs="黑体"/>
          <w:bCs/>
          <w:sz w:val="32"/>
          <w:szCs w:val="32"/>
        </w:rPr>
        <w:t>、竞赛安排</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竞赛项目</w:t>
      </w:r>
    </w:p>
    <w:p>
      <w:pPr>
        <w:keepNext w:val="0"/>
        <w:keepLines w:val="0"/>
        <w:pageBreakBefore w:val="0"/>
        <w:kinsoku/>
        <w:wordWrap/>
        <w:overflowPunct/>
        <w:topLinePunct w:val="0"/>
        <w:autoSpaceDE/>
        <w:autoSpaceDN/>
        <w:bidi w:val="0"/>
        <w:spacing w:line="58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中式烹调师。</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（二）竞赛标准</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以中式烹调师三级/高级工国家职业技能标准为依据，结合新时代餐饮行业企业的发展情况，适当增加新知识、新技术、新设备、新技能的相关内容，由组委会组织行业专家制定，具体要求见技术文件。</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（三）竞赛形式</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本次竞赛为单人赛,分初赛和决赛两个阶段进行,初赛为理论知识竞赛,取初赛成绩排名前55名选手进入决赛,决赛为实际操作竞赛。具体要求见技术文件。</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参赛条件</w:t>
      </w:r>
    </w:p>
    <w:p>
      <w:pPr>
        <w:pStyle w:val="6"/>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本次竞赛面向全市组织开展,参赛的人员应当符合以下条件：年满16周岁且未到法定退休年龄,在本市工作、学习,本次竞赛为单人赛，同一单位报名人数不超过5人。报名人数不少于60人，如出现报名人数不足可延长报名时间或者取消竞赛（由执委会另行通知）。</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报名时间</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即日起至10月11日23:59止。</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六</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咨询电话</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叶老师13902996939</w:t>
      </w:r>
    </w:p>
    <w:p>
      <w:pPr>
        <w:keepNext w:val="0"/>
        <w:keepLines w:val="0"/>
        <w:pageBreakBefore w:val="0"/>
        <w:kinsoku/>
        <w:wordWrap/>
        <w:overflowPunct/>
        <w:topLinePunct w:val="0"/>
        <w:autoSpaceDE/>
        <w:autoSpaceDN/>
        <w:bidi w:val="0"/>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七</w:t>
      </w:r>
      <w:r>
        <w:rPr>
          <w:rFonts w:hint="eastAsia" w:ascii="楷体_GB2312" w:hAnsi="楷体_GB2312" w:eastAsia="楷体_GB2312" w:cs="楷体_GB2312"/>
          <w:sz w:val="32"/>
          <w:szCs w:val="32"/>
        </w:rPr>
        <w:t>）竞赛时间、地点</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1.初赛。2023年10月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日，深圳市光明区马田街道水库路112号深圳市智理技工学校（石围分校区）。</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2.赛前培训。执委会结合竞赛实施进度，于2023年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日在理论竞赛场地开展决赛赛前培训。主要组织参赛选手熟悉场地环境、设施设备；提供安全知识、竞赛流程、技术文件规则解读等培训。</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3.决赛。2023年10月18-19日，深圳市福田会展中心（9号馆）。</w:t>
      </w:r>
    </w:p>
    <w:p>
      <w:pPr>
        <w:keepNext w:val="0"/>
        <w:keepLines w:val="0"/>
        <w:pageBreakBefore w:val="0"/>
        <w:kinsoku/>
        <w:overflowPunct/>
        <w:topLinePunct w:val="0"/>
        <w:autoSpaceDE/>
        <w:autoSpaceDN/>
        <w:bidi w:val="0"/>
        <w:adjustRightInd w:val="0"/>
        <w:snapToGrid w:val="0"/>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.相关公布</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竞赛复习资料、成绩、综合排名在网站</w:t>
      </w:r>
      <w:r>
        <w:rPr>
          <w:color w:val="auto"/>
        </w:rPr>
        <w:fldChar w:fldCharType="begin"/>
      </w:r>
      <w:r>
        <w:rPr>
          <w:color w:val="auto"/>
        </w:rPr>
        <w:instrText xml:space="preserve"> HYPERLINK "http://www.szzx.org.cn/" </w:instrText>
      </w:r>
      <w:r>
        <w:rPr>
          <w:color w:val="auto"/>
        </w:rPr>
        <w:fldChar w:fldCharType="separate"/>
      </w:r>
      <w:r>
        <w:rPr>
          <w:rFonts w:hint="eastAsia" w:ascii="仿宋_GB2312" w:hAnsi="仿宋_GB2312" w:eastAsia="仿宋_GB2312" w:cs="仿宋_GB2312"/>
          <w:color w:val="auto"/>
          <w:sz w:val="32"/>
          <w:szCs w:val="32"/>
        </w:rPr>
        <w:t>http://www.szzx.org.cn/</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t>→技能竞赛→技能竞赛总览栏目对应项目下公布，具体要求见技术文件。</w:t>
      </w:r>
    </w:p>
    <w:p>
      <w:pPr>
        <w:pStyle w:val="8"/>
        <w:keepNext w:val="0"/>
        <w:keepLines w:val="0"/>
        <w:pageBreakBefore w:val="0"/>
        <w:kinsoku/>
        <w:overflowPunct/>
        <w:topLinePunct w:val="0"/>
        <w:autoSpaceDE/>
        <w:autoSpaceDN/>
        <w:bidi w:val="0"/>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.综合排名：</w:t>
      </w:r>
      <w:r>
        <w:rPr>
          <w:rFonts w:hint="eastAsia" w:ascii="仿宋_GB2312" w:hAnsi="仿宋_GB2312" w:eastAsia="仿宋_GB2312" w:cs="仿宋_GB2312"/>
          <w:color w:val="auto"/>
          <w:sz w:val="32"/>
          <w:szCs w:val="32"/>
        </w:rPr>
        <w:t>依据综合成绩进行排名，成绩均四舍五入保留两位小数点，具体要求见技术文件。</w:t>
      </w:r>
    </w:p>
    <w:p>
      <w:pPr>
        <w:keepNext w:val="0"/>
        <w:keepLines w:val="0"/>
        <w:pageBreakBefore w:val="0"/>
        <w:widowControl/>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以上竞赛时间、地点如有变动，以执委会通知为准。</w:t>
      </w:r>
    </w:p>
    <w:p>
      <w:pPr>
        <w:keepNext w:val="0"/>
        <w:keepLines w:val="0"/>
        <w:pageBreakBefore w:val="0"/>
        <w:numPr>
          <w:ilvl w:val="0"/>
          <w:numId w:val="0"/>
        </w:numPr>
        <w:kinsoku/>
        <w:overflowPunct/>
        <w:topLinePunct w:val="0"/>
        <w:autoSpaceDE/>
        <w:autoSpaceDN/>
        <w:bidi w:val="0"/>
        <w:adjustRightInd w:val="0"/>
        <w:snapToGrid w:val="0"/>
        <w:spacing w:line="58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rPr>
        <w:t>奖励办法</w:t>
      </w:r>
    </w:p>
    <w:p>
      <w:pPr>
        <w:pStyle w:val="2"/>
        <w:numPr>
          <w:ilvl w:val="0"/>
          <w:numId w:val="0"/>
        </w:numPr>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（一）奖金</w:t>
      </w:r>
    </w:p>
    <w:p>
      <w:pPr>
        <w:pStyle w:val="2"/>
        <w:numPr>
          <w:ilvl w:val="0"/>
          <w:numId w:val="0"/>
        </w:numPr>
        <w:spacing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本次奖项以</w:t>
      </w:r>
      <w:r>
        <w:rPr>
          <w:rFonts w:hint="eastAsia" w:ascii="仿宋_GB2312" w:hAnsi="仿宋_GB2312" w:eastAsia="仿宋_GB2312" w:cs="仿宋_GB2312"/>
          <w:color w:val="auto"/>
          <w:sz w:val="32"/>
          <w:szCs w:val="32"/>
        </w:rPr>
        <w:t>竞赛综合成绩排名第9至第</w:t>
      </w: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名，奖金各</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00元。第</w:t>
      </w: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rPr>
        <w:t>至第</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奖金各</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00元。第</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至第</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奖金各</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00元。第</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至第</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奖金各</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00元。以上奖金均为税前金额。</w:t>
      </w:r>
    </w:p>
    <w:p>
      <w:pPr>
        <w:pStyle w:val="10"/>
        <w:keepNext w:val="0"/>
        <w:keepLines w:val="0"/>
        <w:pageBreakBefore w:val="0"/>
        <w:numPr>
          <w:ilvl w:val="0"/>
          <w:numId w:val="0"/>
        </w:numPr>
        <w:kinsoku/>
        <w:overflowPunct/>
        <w:topLinePunct w:val="0"/>
        <w:autoSpaceDE/>
        <w:autoSpaceDN/>
        <w:bidi w:val="0"/>
        <w:spacing w:before="0" w:beforeAutospacing="0" w:after="0" w:afterAutospacing="0" w:line="580" w:lineRule="exact"/>
        <w:ind w:leftChars="100" w:firstLine="640" w:firstLineChars="20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二</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核发证书</w:t>
      </w:r>
    </w:p>
    <w:p>
      <w:pPr>
        <w:pStyle w:val="10"/>
        <w:keepNext w:val="0"/>
        <w:keepLines w:val="0"/>
        <w:pageBreakBefore w:val="0"/>
        <w:numPr>
          <w:ilvl w:val="0"/>
          <w:numId w:val="0"/>
        </w:numPr>
        <w:kinsoku/>
        <w:overflowPunct/>
        <w:topLinePunct w:val="0"/>
        <w:autoSpaceDE/>
        <w:autoSpaceDN/>
        <w:bidi w:val="0"/>
        <w:spacing w:before="0" w:beforeAutospacing="0" w:after="0" w:afterAutospacing="0" w:line="580" w:lineRule="exact"/>
        <w:ind w:leftChars="100"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获得</w:t>
      </w:r>
      <w:r>
        <w:rPr>
          <w:rFonts w:hint="eastAsia" w:ascii="仿宋_GB2312" w:hAnsi="仿宋_GB2312" w:eastAsia="仿宋_GB2312" w:cs="仿宋_GB2312"/>
          <w:color w:val="auto"/>
          <w:kern w:val="0"/>
          <w:sz w:val="32"/>
          <w:szCs w:val="32"/>
          <w:lang w:val="en-US" w:eastAsia="zh-CN"/>
        </w:rPr>
        <w:t>9至19名</w:t>
      </w:r>
      <w:r>
        <w:rPr>
          <w:rFonts w:hint="eastAsia" w:ascii="仿宋_GB2312" w:hAnsi="仿宋_GB2312" w:eastAsia="仿宋_GB2312" w:cs="仿宋_GB2312"/>
          <w:color w:val="auto"/>
          <w:kern w:val="0"/>
          <w:sz w:val="32"/>
          <w:szCs w:val="32"/>
        </w:rPr>
        <w:t>的选手，由</w:t>
      </w:r>
      <w:r>
        <w:rPr>
          <w:rFonts w:hint="eastAsia" w:ascii="仿宋_GB2312" w:hAnsi="仿宋_GB2312" w:eastAsia="仿宋_GB2312" w:cs="仿宋_GB2312"/>
          <w:color w:val="auto"/>
          <w:sz w:val="32"/>
          <w:szCs w:val="32"/>
        </w:rPr>
        <w:t>组委会</w:t>
      </w:r>
      <w:r>
        <w:rPr>
          <w:rFonts w:hint="eastAsia" w:ascii="仿宋_GB2312" w:hAnsi="仿宋_GB2312" w:eastAsia="仿宋_GB2312" w:cs="仿宋_GB2312"/>
          <w:color w:val="auto"/>
          <w:kern w:val="0"/>
          <w:sz w:val="32"/>
          <w:szCs w:val="32"/>
        </w:rPr>
        <w:t>颁发</w:t>
      </w:r>
      <w:r>
        <w:rPr>
          <w:rFonts w:hint="eastAsia" w:ascii="仿宋_GB2312" w:hAnsi="仿宋_GB2312" w:eastAsia="仿宋_GB2312" w:cs="仿宋_GB2312"/>
          <w:color w:val="auto"/>
          <w:kern w:val="0"/>
          <w:sz w:val="32"/>
          <w:szCs w:val="32"/>
          <w:lang w:val="en-US" w:eastAsia="zh-CN"/>
        </w:rPr>
        <w:t>深圳市</w:t>
      </w:r>
      <w:r>
        <w:rPr>
          <w:rFonts w:hint="eastAsia" w:ascii="仿宋_GB2312" w:hAnsi="仿宋" w:eastAsia="仿宋_GB2312" w:cs="Times New Roman"/>
          <w:color w:val="000000"/>
          <w:sz w:val="32"/>
          <w:szCs w:val="32"/>
        </w:rPr>
        <w:t>第</w:t>
      </w:r>
      <w:r>
        <w:rPr>
          <w:rFonts w:hint="eastAsia" w:ascii="仿宋_GB2312" w:hAnsi="仿宋" w:eastAsia="仿宋_GB2312" w:cs="Times New Roman"/>
          <w:color w:val="000000"/>
          <w:sz w:val="32"/>
          <w:szCs w:val="32"/>
          <w:lang w:val="en-US" w:eastAsia="zh-CN"/>
        </w:rPr>
        <w:t>九</w:t>
      </w:r>
      <w:r>
        <w:rPr>
          <w:rFonts w:hint="eastAsia" w:ascii="仿宋_GB2312" w:hAnsi="仿宋" w:eastAsia="仿宋_GB2312" w:cs="Times New Roman"/>
          <w:color w:val="000000"/>
          <w:sz w:val="32"/>
          <w:szCs w:val="32"/>
        </w:rPr>
        <w:t>届</w:t>
      </w:r>
      <w:r>
        <w:rPr>
          <w:rFonts w:hint="eastAsia" w:ascii="仿宋_GB2312" w:hAnsi="仿宋_GB2312" w:eastAsia="仿宋_GB2312" w:cs="仿宋_GB2312"/>
          <w:color w:val="auto"/>
          <w:sz w:val="32"/>
          <w:szCs w:val="32"/>
        </w:rPr>
        <w:t>“深圳好技师”</w:t>
      </w:r>
      <w:r>
        <w:rPr>
          <w:rFonts w:hint="eastAsia" w:ascii="仿宋_GB2312" w:hAnsi="仿宋_GB2312" w:eastAsia="仿宋_GB2312" w:cs="仿宋_GB2312"/>
          <w:color w:val="auto"/>
          <w:sz w:val="32"/>
          <w:szCs w:val="32"/>
          <w:lang w:val="en-US" w:eastAsia="zh-CN"/>
        </w:rPr>
        <w:t>证书</w:t>
      </w:r>
      <w:r>
        <w:rPr>
          <w:rFonts w:hint="eastAsia" w:ascii="仿宋_GB2312" w:hAnsi="仿宋_GB2312" w:eastAsia="仿宋_GB2312" w:cs="仿宋_GB2312"/>
          <w:color w:val="auto"/>
          <w:kern w:val="0"/>
          <w:sz w:val="32"/>
          <w:szCs w:val="32"/>
        </w:rPr>
        <w:t>。</w:t>
      </w:r>
    </w:p>
    <w:p>
      <w:pPr>
        <w:pStyle w:val="10"/>
        <w:keepNext w:val="0"/>
        <w:keepLines w:val="0"/>
        <w:pageBreakBefore w:val="0"/>
        <w:numPr>
          <w:ilvl w:val="0"/>
          <w:numId w:val="0"/>
        </w:numPr>
        <w:kinsoku/>
        <w:overflowPunct/>
        <w:topLinePunct w:val="0"/>
        <w:autoSpaceDE/>
        <w:autoSpaceDN/>
        <w:bidi w:val="0"/>
        <w:spacing w:before="0" w:beforeAutospacing="0" w:after="0" w:afterAutospacing="0" w:line="580" w:lineRule="exact"/>
        <w:ind w:leftChars="100" w:firstLine="640" w:firstLineChars="200"/>
        <w:rPr>
          <w:rFonts w:ascii="黑体" w:hAnsi="黑体" w:eastAsia="黑体"/>
          <w:color w:val="auto"/>
          <w:sz w:val="32"/>
          <w:szCs w:val="32"/>
        </w:rPr>
      </w:pPr>
      <w:r>
        <w:rPr>
          <w:rFonts w:hint="eastAsia" w:ascii="黑体" w:hAnsi="黑体" w:eastAsia="黑体"/>
          <w:color w:val="auto"/>
          <w:sz w:val="32"/>
          <w:szCs w:val="32"/>
          <w:lang w:val="en-US" w:eastAsia="zh-CN"/>
        </w:rPr>
        <w:t>四</w:t>
      </w:r>
      <w:r>
        <w:rPr>
          <w:rFonts w:ascii="黑体" w:hAnsi="黑体" w:eastAsia="黑体"/>
          <w:color w:val="auto"/>
          <w:sz w:val="32"/>
          <w:szCs w:val="32"/>
        </w:rPr>
        <w:t>、申诉与仲裁</w:t>
      </w:r>
    </w:p>
    <w:p>
      <w:pPr>
        <w:pStyle w:val="2"/>
        <w:keepNext w:val="0"/>
        <w:keepLines w:val="0"/>
        <w:pageBreakBefore w:val="0"/>
        <w:kinsoku/>
        <w:overflowPunct/>
        <w:topLinePunct w:val="0"/>
        <w:autoSpaceDE/>
        <w:autoSpaceDN/>
        <w:bidi w:val="0"/>
        <w:spacing w:beforeAutospacing="0" w:line="580" w:lineRule="exact"/>
        <w:ind w:firstLine="64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（一）参赛选手对赛场提供的设备、工具不符合规定的或工作人员的违规行为等均可提出申诉。</w:t>
      </w:r>
    </w:p>
    <w:p>
      <w:pPr>
        <w:pStyle w:val="2"/>
        <w:keepNext w:val="0"/>
        <w:keepLines w:val="0"/>
        <w:pageBreakBefore w:val="0"/>
        <w:kinsoku/>
        <w:overflowPunct/>
        <w:topLinePunct w:val="0"/>
        <w:autoSpaceDE/>
        <w:autoSpaceDN/>
        <w:bidi w:val="0"/>
        <w:spacing w:line="580" w:lineRule="exact"/>
        <w:ind w:firstLine="640"/>
      </w:pPr>
      <w:r>
        <w:rPr>
          <w:rFonts w:ascii="仿宋_GB2312" w:hAnsi="仿宋_GB2312" w:eastAsia="仿宋_GB2312" w:cs="仿宋_GB2312"/>
          <w:color w:val="auto"/>
          <w:sz w:val="32"/>
          <w:szCs w:val="32"/>
        </w:rPr>
        <w:t>（二）现场申诉最迟应在竞赛结束后</w:t>
      </w:r>
      <w:r>
        <w:rPr>
          <w:rFonts w:hint="eastAsia" w:ascii="仿宋_GB2312" w:hAnsi="仿宋_GB2312" w:eastAsia="仿宋_GB2312" w:cs="仿宋_GB2312"/>
          <w:color w:val="auto"/>
          <w:sz w:val="32"/>
          <w:szCs w:val="32"/>
          <w:lang w:val="en-US" w:eastAsia="zh-CN"/>
        </w:rPr>
        <w:t>1</w:t>
      </w:r>
      <w:r>
        <w:rPr>
          <w:rFonts w:ascii="仿宋_GB2312" w:hAnsi="仿宋_GB2312" w:eastAsia="仿宋_GB2312" w:cs="仿宋_GB2312"/>
          <w:color w:val="auto"/>
          <w:sz w:val="32"/>
          <w:szCs w:val="32"/>
        </w:rPr>
        <w:t>小时内提出，超过时效将不予受理。申诉时，应以书面形式按规定程序向监督仲裁组提出，由监督仲裁组进行裁决。</w:t>
      </w:r>
    </w:p>
    <w:p>
      <w:pPr>
        <w:keepNext w:val="0"/>
        <w:keepLines w:val="0"/>
        <w:pageBreakBefore w:val="0"/>
        <w:kinsoku/>
        <w:overflowPunct/>
        <w:topLinePunct w:val="0"/>
        <w:autoSpaceDE/>
        <w:autoSpaceDN/>
        <w:bidi w:val="0"/>
        <w:adjustRightInd w:val="0"/>
        <w:snapToGrid w:val="0"/>
        <w:spacing w:line="580" w:lineRule="exact"/>
        <w:ind w:firstLine="960" w:firstLineChars="300"/>
        <w:rPr>
          <w:rFonts w:ascii="黑体" w:hAnsi="黑体" w:eastAsia="黑体"/>
          <w:color w:val="auto"/>
          <w:sz w:val="32"/>
          <w:szCs w:val="32"/>
        </w:rPr>
      </w:pPr>
      <w:r>
        <w:rPr>
          <w:rFonts w:hint="eastAsia" w:ascii="黑体" w:hAnsi="黑体" w:eastAsia="黑体"/>
          <w:color w:val="auto"/>
          <w:sz w:val="32"/>
          <w:szCs w:val="32"/>
          <w:lang w:val="en-US" w:eastAsia="zh-CN"/>
        </w:rPr>
        <w:t>五</w:t>
      </w:r>
      <w:r>
        <w:rPr>
          <w:rFonts w:hint="eastAsia" w:ascii="黑体" w:hAnsi="黑体" w:eastAsia="黑体"/>
          <w:color w:val="auto"/>
          <w:sz w:val="32"/>
          <w:szCs w:val="32"/>
        </w:rPr>
        <w:t>、其他</w:t>
      </w:r>
    </w:p>
    <w:p>
      <w:pPr>
        <w:keepNext w:val="0"/>
        <w:keepLines w:val="0"/>
        <w:pageBreakBefore w:val="0"/>
        <w:kinsoku/>
        <w:overflowPunct/>
        <w:topLinePunct w:val="0"/>
        <w:autoSpaceDE/>
        <w:autoSpaceDN/>
        <w:bidi w:val="0"/>
        <w:spacing w:line="580" w:lineRule="exact"/>
        <w:ind w:firstLine="640" w:firstLineChars="200"/>
        <w:rPr>
          <w:rFonts w:ascii="仿宋_GB2312" w:hAnsi="等线" w:eastAsia="仿宋_GB2312"/>
          <w:color w:val="auto"/>
          <w:sz w:val="32"/>
          <w:szCs w:val="32"/>
        </w:rPr>
      </w:pPr>
      <w:r>
        <w:rPr>
          <w:rFonts w:hint="eastAsia" w:ascii="仿宋_GB2312" w:hAnsi="等线" w:eastAsia="仿宋_GB2312"/>
          <w:color w:val="auto"/>
          <w:sz w:val="32"/>
          <w:szCs w:val="32"/>
        </w:rPr>
        <w:t>（一）各参赛选手在竞赛中不得冒名顶替、弄虚作假，一经发现查实，将取消参赛资格和成绩。</w:t>
      </w:r>
    </w:p>
    <w:p>
      <w:pPr>
        <w:keepNext w:val="0"/>
        <w:keepLines w:val="0"/>
        <w:pageBreakBefore w:val="0"/>
        <w:kinsoku/>
        <w:overflowPunct/>
        <w:topLinePunct w:val="0"/>
        <w:autoSpaceDE/>
        <w:autoSpaceDN/>
        <w:bidi w:val="0"/>
        <w:spacing w:line="580" w:lineRule="exact"/>
        <w:ind w:firstLine="640" w:firstLineChars="200"/>
        <w:rPr>
          <w:rFonts w:ascii="仿宋_GB2312" w:hAnsi="等线" w:eastAsia="仿宋_GB2312"/>
          <w:color w:val="auto"/>
          <w:sz w:val="32"/>
          <w:szCs w:val="32"/>
        </w:rPr>
      </w:pPr>
      <w:r>
        <w:rPr>
          <w:rFonts w:hint="eastAsia" w:ascii="仿宋_GB2312" w:hAnsi="等线" w:eastAsia="仿宋_GB2312"/>
          <w:color w:val="auto"/>
          <w:sz w:val="32"/>
          <w:szCs w:val="32"/>
        </w:rPr>
        <w:t>（二）本竞赛不收取任何费用。</w:t>
      </w:r>
    </w:p>
    <w:p>
      <w:pPr>
        <w:pStyle w:val="8"/>
        <w:keepNext w:val="0"/>
        <w:keepLines w:val="0"/>
        <w:pageBreakBefore w:val="0"/>
        <w:kinsoku/>
        <w:overflowPunct/>
        <w:topLinePunct w:val="0"/>
        <w:autoSpaceDE/>
        <w:autoSpaceDN/>
        <w:bidi w:val="0"/>
        <w:spacing w:line="580" w:lineRule="exact"/>
        <w:rPr>
          <w:rFonts w:ascii="仿宋_GB2312" w:hAnsi="等线" w:eastAsia="仿宋_GB2312"/>
          <w:color w:val="auto"/>
          <w:sz w:val="32"/>
          <w:szCs w:val="32"/>
        </w:rPr>
      </w:pPr>
    </w:p>
    <w:p>
      <w:pPr>
        <w:keepNext w:val="0"/>
        <w:keepLines w:val="0"/>
        <w:pageBreakBefore w:val="0"/>
        <w:kinsoku/>
        <w:overflowPunct/>
        <w:topLinePunct w:val="0"/>
        <w:autoSpaceDE/>
        <w:autoSpaceDN/>
        <w:bidi w:val="0"/>
        <w:spacing w:line="580" w:lineRule="exact"/>
        <w:rPr>
          <w:rFonts w:hint="eastAsia" w:ascii="仿宋_GB2312" w:hAnsi="等线" w:eastAsia="仿宋_GB2312"/>
          <w:color w:val="auto"/>
          <w:sz w:val="32"/>
          <w:szCs w:val="32"/>
        </w:rPr>
      </w:pPr>
    </w:p>
    <w:p>
      <w:pPr>
        <w:keepNext w:val="0"/>
        <w:keepLines w:val="0"/>
        <w:pageBreakBefore w:val="0"/>
        <w:kinsoku/>
        <w:overflowPunct/>
        <w:topLinePunct w:val="0"/>
        <w:autoSpaceDE/>
        <w:autoSpaceDN/>
        <w:bidi w:val="0"/>
        <w:spacing w:line="580" w:lineRule="exact"/>
        <w:rPr>
          <w:rFonts w:ascii="黑体" w:hAnsi="黑体" w:eastAsia="黑体" w:cs="黑体"/>
          <w:color w:val="auto"/>
          <w:sz w:val="36"/>
          <w:szCs w:val="36"/>
        </w:rPr>
      </w:pPr>
    </w:p>
    <w:p>
      <w:pPr>
        <w:keepNext w:val="0"/>
        <w:keepLines w:val="0"/>
        <w:pageBreakBefore w:val="0"/>
        <w:kinsoku/>
        <w:overflowPunct/>
        <w:topLinePunct w:val="0"/>
        <w:autoSpaceDE/>
        <w:autoSpaceDN/>
        <w:bidi w:val="0"/>
        <w:spacing w:line="580" w:lineRule="exact"/>
        <w:rPr>
          <w:rFonts w:ascii="黑体" w:hAnsi="黑体" w:eastAsia="黑体" w:cs="黑体"/>
          <w:color w:val="auto"/>
          <w:sz w:val="32"/>
          <w:szCs w:val="32"/>
        </w:rPr>
      </w:pPr>
    </w:p>
    <w:p>
      <w:pPr>
        <w:pStyle w:val="2"/>
        <w:keepNext w:val="0"/>
        <w:keepLines w:val="0"/>
        <w:pageBreakBefore w:val="0"/>
        <w:kinsoku/>
        <w:overflowPunct/>
        <w:topLinePunct w:val="0"/>
        <w:autoSpaceDE/>
        <w:autoSpaceDN/>
        <w:bidi w:val="0"/>
        <w:spacing w:line="580" w:lineRule="exact"/>
        <w:rPr>
          <w:rFonts w:hint="eastAsia" w:ascii="仿宋_GB2312" w:hAnsi="仿宋_GB2312" w:eastAsia="仿宋_GB2312" w:cs="仿宋_GB2312"/>
          <w:color w:val="auto"/>
          <w:sz w:val="32"/>
          <w:szCs w:val="32"/>
          <w:highlight w:val="none"/>
        </w:rPr>
      </w:pPr>
    </w:p>
    <w:p>
      <w:pPr>
        <w:pStyle w:val="2"/>
        <w:keepNext w:val="0"/>
        <w:keepLines w:val="0"/>
        <w:pageBreakBefore w:val="0"/>
        <w:kinsoku/>
        <w:overflowPunct/>
        <w:topLinePunct w:val="0"/>
        <w:autoSpaceDE/>
        <w:autoSpaceDN/>
        <w:bidi w:val="0"/>
        <w:spacing w:line="580" w:lineRule="exact"/>
        <w:rPr>
          <w:rFonts w:hint="eastAsia" w:ascii="仿宋_GB2312" w:hAnsi="仿宋_GB2312" w:eastAsia="仿宋_GB2312" w:cs="仿宋_GB2312"/>
          <w:color w:val="auto"/>
          <w:sz w:val="32"/>
          <w:szCs w:val="32"/>
          <w:highlight w:val="none"/>
        </w:rPr>
      </w:pPr>
    </w:p>
    <w:p>
      <w:pPr>
        <w:pStyle w:val="2"/>
        <w:keepNext w:val="0"/>
        <w:keepLines w:val="0"/>
        <w:pageBreakBefore w:val="0"/>
        <w:kinsoku/>
        <w:overflowPunct/>
        <w:topLinePunct w:val="0"/>
        <w:autoSpaceDE/>
        <w:autoSpaceDN/>
        <w:bidi w:val="0"/>
        <w:spacing w:line="580" w:lineRule="exact"/>
        <w:rPr>
          <w:rFonts w:hint="eastAsia" w:ascii="仿宋_GB2312" w:hAnsi="仿宋_GB2312" w:eastAsia="仿宋_GB2312" w:cs="仿宋_GB2312"/>
          <w:color w:val="auto"/>
          <w:sz w:val="32"/>
          <w:szCs w:val="32"/>
          <w:highlight w:val="none"/>
        </w:rPr>
      </w:pPr>
    </w:p>
    <w:p>
      <w:pPr>
        <w:pStyle w:val="2"/>
        <w:keepNext w:val="0"/>
        <w:keepLines w:val="0"/>
        <w:pageBreakBefore w:val="0"/>
        <w:kinsoku/>
        <w:overflowPunct/>
        <w:topLinePunct w:val="0"/>
        <w:autoSpaceDE/>
        <w:autoSpaceDN/>
        <w:bidi w:val="0"/>
        <w:spacing w:line="580" w:lineRule="exact"/>
        <w:rPr>
          <w:rFonts w:hint="eastAsia" w:ascii="仿宋_GB2312" w:hAnsi="仿宋_GB2312" w:eastAsia="仿宋_GB2312" w:cs="仿宋_GB2312"/>
          <w:color w:val="auto"/>
          <w:sz w:val="32"/>
          <w:szCs w:val="32"/>
          <w:highlight w:val="none"/>
        </w:rPr>
      </w:pPr>
    </w:p>
    <w:p>
      <w:pPr>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kinsoku/>
        <w:overflowPunct/>
        <w:topLinePunct w:val="0"/>
        <w:autoSpaceDE/>
        <w:autoSpaceDN/>
        <w:bidi w:val="0"/>
        <w:spacing w:line="580" w:lineRule="exact"/>
        <w:jc w:val="left"/>
        <w:rPr>
          <w:rFonts w:hint="eastAsia"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kinsoku/>
        <w:overflowPunct/>
        <w:topLinePunct w:val="0"/>
        <w:autoSpaceDE/>
        <w:autoSpaceDN/>
        <w:bidi w:val="0"/>
        <w:spacing w:line="580" w:lineRule="exact"/>
        <w:jc w:val="left"/>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1760" w:hanging="1760" w:hangingChars="400"/>
        <w:jc w:val="center"/>
        <w:textAlignment w:val="auto"/>
        <w:rPr>
          <w:rFonts w:hint="eastAsia" w:ascii="方正小标宋简体" w:hAnsi="宋体" w:eastAsia="方正小标宋简体"/>
          <w:color w:val="auto"/>
          <w:sz w:val="44"/>
          <w:szCs w:val="44"/>
          <w:highlight w:val="none"/>
          <w:lang w:val="en-US" w:eastAsia="zh-CN"/>
        </w:rPr>
      </w:pPr>
      <w:r>
        <w:rPr>
          <w:rFonts w:hint="eastAsia" w:ascii="方正小标宋简体" w:hAnsi="宋体" w:eastAsia="方正小标宋简体"/>
          <w:color w:val="auto"/>
          <w:sz w:val="44"/>
          <w:szCs w:val="44"/>
          <w:highlight w:val="none"/>
          <w:lang w:val="en-US" w:eastAsia="zh-CN"/>
        </w:rPr>
        <w:t>第九届“深圳好技师”系列大赛活动—</w:t>
      </w:r>
    </w:p>
    <w:p>
      <w:pPr>
        <w:keepNext w:val="0"/>
        <w:keepLines w:val="0"/>
        <w:pageBreakBefore w:val="0"/>
        <w:widowControl w:val="0"/>
        <w:kinsoku/>
        <w:wordWrap/>
        <w:overflowPunct/>
        <w:topLinePunct w:val="0"/>
        <w:autoSpaceDE/>
        <w:autoSpaceDN/>
        <w:bidi w:val="0"/>
        <w:adjustRightInd/>
        <w:snapToGrid/>
        <w:spacing w:line="580" w:lineRule="exact"/>
        <w:ind w:left="1760" w:hanging="1760" w:hangingChars="400"/>
        <w:jc w:val="center"/>
        <w:textAlignment w:val="auto"/>
        <w:rPr>
          <w:rFonts w:hint="eastAsia" w:ascii="Times New Roman" w:hAnsi="Times New Roman" w:eastAsia="方正小标宋简体" w:cs="Times New Roman"/>
          <w:bCs/>
          <w:snapToGrid w:val="0"/>
          <w:kern w:val="0"/>
          <w:sz w:val="44"/>
          <w:szCs w:val="44"/>
          <w:lang w:val="en-US" w:eastAsia="zh-CN"/>
        </w:rPr>
      </w:pPr>
      <w:r>
        <w:rPr>
          <w:rFonts w:hint="eastAsia" w:ascii="方正小标宋简体" w:hAnsi="宋体" w:eastAsia="方正小标宋简体"/>
          <w:color w:val="auto"/>
          <w:sz w:val="44"/>
          <w:szCs w:val="44"/>
          <w:highlight w:val="none"/>
          <w:lang w:val="en-US" w:eastAsia="zh-CN"/>
        </w:rPr>
        <w:t>中式烹调师项目</w:t>
      </w:r>
      <w:r>
        <w:rPr>
          <w:rFonts w:hint="eastAsia" w:ascii="Times New Roman" w:hAnsi="Times New Roman" w:eastAsia="方正小标宋简体" w:cs="Times New Roman"/>
          <w:bCs/>
          <w:snapToGrid w:val="0"/>
          <w:kern w:val="0"/>
          <w:sz w:val="44"/>
          <w:szCs w:val="44"/>
        </w:rPr>
        <w:t>技术文件</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cs="黑体"/>
          <w:b w:val="0"/>
          <w:bCs/>
          <w:sz w:val="32"/>
          <w:szCs w:val="32"/>
        </w:rPr>
      </w:pPr>
      <w:r>
        <w:rPr>
          <w:rFonts w:hint="eastAsia" w:ascii="黑体" w:hAnsi="黑体" w:eastAsia="黑体" w:cs="黑体"/>
          <w:b w:val="0"/>
          <w:bCs/>
          <w:sz w:val="32"/>
          <w:szCs w:val="32"/>
        </w:rPr>
        <w:t>一、技术描述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lang w:val="en-US" w:eastAsia="zh-CN"/>
        </w:rPr>
        <w:t>一</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项目概要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竞赛项目为中式</w:t>
      </w:r>
      <w:r>
        <w:rPr>
          <w:rFonts w:hint="eastAsia" w:ascii="仿宋_GB2312" w:hAnsi="仿宋_GB2312" w:eastAsia="仿宋_GB2312" w:cs="仿宋_GB2312"/>
          <w:color w:val="000000" w:themeColor="text1"/>
          <w:sz w:val="32"/>
          <w:szCs w:val="32"/>
          <w14:textFill>
            <w14:solidFill>
              <w14:schemeClr w14:val="tx1"/>
            </w14:solidFill>
          </w14:textFill>
        </w:rPr>
        <w:t>烹调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师</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是指通过各种加热手段,使烹调原料由生到熟并形成一定色泽、形状和质感,运用各种调料和各种施调方法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将</w:t>
      </w:r>
      <w:r>
        <w:rPr>
          <w:rFonts w:hint="eastAsia" w:ascii="仿宋_GB2312" w:hAnsi="仿宋_GB2312" w:eastAsia="仿宋_GB2312" w:cs="仿宋_GB2312"/>
          <w:color w:val="000000" w:themeColor="text1"/>
          <w:sz w:val="32"/>
          <w:szCs w:val="32"/>
          <w14:textFill>
            <w14:solidFill>
              <w14:schemeClr w14:val="tx1"/>
            </w14:solidFill>
          </w14:textFill>
        </w:rPr>
        <w:t>菜肴形成一定的滋味、香气和色彩的过程。选手需要掌握丰富的专业理论知识，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以及</w:t>
      </w:r>
      <w:r>
        <w:rPr>
          <w:rFonts w:hint="eastAsia" w:ascii="仿宋_GB2312" w:hAnsi="仿宋_GB2312" w:eastAsia="仿宋_GB2312" w:cs="仿宋_GB2312"/>
          <w:color w:val="000000" w:themeColor="text1"/>
          <w:sz w:val="32"/>
          <w:szCs w:val="32"/>
          <w14:textFill>
            <w14:solidFill>
              <w14:schemeClr w14:val="tx1"/>
            </w14:solidFill>
          </w14:textFill>
        </w:rPr>
        <w:t>食材选择、原料分档与切割、原料调配与预制加工、菜肴制作等实操技能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参赛选手须</w:t>
      </w:r>
      <w:r>
        <w:rPr>
          <w:rFonts w:hint="eastAsia" w:ascii="仿宋_GB2312" w:hAnsi="仿宋_GB2312" w:eastAsia="仿宋_GB2312" w:cs="仿宋_GB2312"/>
          <w:color w:val="000000" w:themeColor="text1"/>
          <w:sz w:val="32"/>
          <w:szCs w:val="32"/>
          <w14:textFill>
            <w14:solidFill>
              <w14:schemeClr w14:val="tx1"/>
            </w14:solidFill>
          </w14:textFill>
        </w:rPr>
        <w:t>运用粤菜烹饪技法,选用优质食材,独立烹制具有岭南饮食文化特征</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体现本土饮食风味的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两</w:t>
      </w:r>
      <w:r>
        <w:rPr>
          <w:rFonts w:hint="eastAsia" w:ascii="仿宋_GB2312" w:hAnsi="仿宋_GB2312" w:eastAsia="仿宋_GB2312" w:cs="仿宋_GB2312"/>
          <w:color w:val="000000" w:themeColor="text1"/>
          <w:sz w:val="32"/>
          <w:szCs w:val="32"/>
          <w14:textFill>
            <w14:solidFill>
              <w14:schemeClr w14:val="tx1"/>
            </w14:solidFill>
          </w14:textFill>
        </w:rPr>
        <w:t>道粤式热菜。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lang w:val="en-US" w:eastAsia="zh-CN"/>
        </w:rPr>
        <w:t>二</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理论知识与实操能力</w:t>
      </w:r>
    </w:p>
    <w:tbl>
      <w:tblPr>
        <w:tblStyle w:val="12"/>
        <w:tblW w:w="8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1"/>
        <w:gridCol w:w="103"/>
        <w:gridCol w:w="4802"/>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01" w:type="dxa"/>
            <w:gridSpan w:val="4"/>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bCs w:val="0"/>
                <w:caps/>
                <w:color w:val="auto"/>
                <w:kern w:val="0"/>
                <w:sz w:val="24"/>
                <w:szCs w:val="24"/>
                <w:lang w:val="en-US" w:eastAsia="zh-CN" w:bidi="ar-SA"/>
              </w:rPr>
              <w:t>理论知识</w:t>
            </w:r>
            <w:r>
              <w:rPr>
                <w:rFonts w:hint="eastAsia" w:ascii="仿宋_GB2312" w:hAnsi="仿宋_GB2312" w:eastAsia="仿宋_GB2312" w:cs="仿宋_GB2312"/>
                <w:b/>
                <w:bCs w:val="0"/>
                <w:caps/>
                <w:color w:val="auto"/>
                <w:sz w:val="24"/>
                <w:szCs w:val="24"/>
                <w:lang w:eastAsia="zh-CN"/>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范围</w:t>
            </w:r>
          </w:p>
        </w:tc>
        <w:tc>
          <w:tcPr>
            <w:tcW w:w="4802"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内容</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sz w:val="24"/>
                <w:szCs w:val="24"/>
                <w:lang w:eastAsia="zh-CN"/>
              </w:rPr>
              <w:t>权重比例</w:t>
            </w:r>
            <w:r>
              <w:rPr>
                <w:rFonts w:hint="eastAsia" w:ascii="仿宋_GB2312" w:hAnsi="仿宋_GB2312" w:eastAsia="仿宋_GB2312" w:cs="仿宋_GB2312"/>
                <w:bCs/>
                <w:caps/>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职业道德</w:t>
            </w:r>
          </w:p>
        </w:tc>
        <w:tc>
          <w:tcPr>
            <w:tcW w:w="4802" w:type="dxa"/>
            <w:vAlign w:val="center"/>
          </w:tcPr>
          <w:p>
            <w:pPr>
              <w:pStyle w:val="24"/>
              <w:keepNext w:val="0"/>
              <w:keepLines w:val="0"/>
              <w:pageBreakBefore w:val="0"/>
              <w:numPr>
                <w:ilvl w:val="0"/>
                <w:numId w:val="0"/>
              </w:numPr>
              <w:kinsoku/>
              <w:wordWrap/>
              <w:overflowPunct/>
              <w:topLinePunct w:val="0"/>
              <w:autoSpaceDE/>
              <w:autoSpaceDN/>
              <w:bidi w:val="0"/>
              <w:snapToGrid w:val="0"/>
              <w:spacing w:after="0" w:line="200" w:lineRule="atLeas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sz w:val="24"/>
                <w:szCs w:val="24"/>
                <w:lang w:val="en-US" w:eastAsia="zh-CN"/>
              </w:rPr>
              <w:t>职业道德基本知识</w:t>
            </w:r>
          </w:p>
          <w:p>
            <w:pPr>
              <w:keepNext w:val="0"/>
              <w:keepLines w:val="0"/>
              <w:pageBreakBefore w:val="0"/>
              <w:kinsoku/>
              <w:wordWrap/>
              <w:overflowPunct/>
              <w:topLinePunct w:val="0"/>
              <w:autoSpaceDE/>
              <w:autoSpaceDN/>
              <w:bidi w:val="0"/>
              <w:spacing w:line="200" w:lineRule="atLeast"/>
              <w:jc w:val="both"/>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sz w:val="24"/>
                <w:szCs w:val="24"/>
                <w:lang w:val="en-US" w:eastAsia="zh-CN"/>
              </w:rPr>
              <w:t>职业守则基本知识</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安全生产知识</w:t>
            </w:r>
          </w:p>
        </w:tc>
        <w:tc>
          <w:tcPr>
            <w:tcW w:w="4802" w:type="dxa"/>
            <w:vAlign w:val="center"/>
          </w:tcPr>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烹饪、烹调与烹制</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厨房安全操作知识、食品安全、设备使用和安全用电等安全相关知识</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24" w:type="dxa"/>
            <w:gridSpan w:val="2"/>
            <w:vAlign w:val="center"/>
          </w:tcPr>
          <w:p>
            <w:pPr>
              <w:pStyle w:val="7"/>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粤菜的形成与特点</w:t>
            </w:r>
          </w:p>
        </w:tc>
        <w:tc>
          <w:tcPr>
            <w:tcW w:w="4802" w:type="dxa"/>
            <w:vAlign w:val="center"/>
          </w:tcPr>
          <w:p>
            <w:pPr>
              <w:keepNext w:val="0"/>
              <w:keepLines w:val="0"/>
              <w:pageBreakBefore w:val="0"/>
              <w:kinsoku/>
              <w:wordWrap/>
              <w:overflowPunct/>
              <w:topLinePunct w:val="0"/>
              <w:autoSpaceDE/>
              <w:autoSpaceDN/>
              <w:bidi w:val="0"/>
              <w:snapToGrid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粤菜的形成与发展</w:t>
            </w:r>
          </w:p>
          <w:p>
            <w:pPr>
              <w:pStyle w:val="7"/>
              <w:keepNext w:val="0"/>
              <w:keepLines w:val="0"/>
              <w:pageBreakBefore w:val="0"/>
              <w:kinsoku/>
              <w:wordWrap/>
              <w:overflowPunct/>
              <w:topLinePunct w:val="0"/>
              <w:autoSpaceDE/>
              <w:autoSpaceDN/>
              <w:bidi w:val="0"/>
              <w:adjustRightInd w:val="0"/>
              <w:snapToGrid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粤菜的组成与特点</w:t>
            </w:r>
          </w:p>
        </w:tc>
        <w:tc>
          <w:tcPr>
            <w:tcW w:w="975" w:type="dxa"/>
            <w:vAlign w:val="center"/>
          </w:tcPr>
          <w:p>
            <w:pPr>
              <w:pStyle w:val="7"/>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原料初加工</w:t>
            </w:r>
          </w:p>
        </w:tc>
        <w:tc>
          <w:tcPr>
            <w:tcW w:w="4802" w:type="dxa"/>
            <w:vAlign w:val="center"/>
          </w:tcPr>
          <w:p>
            <w:pPr>
              <w:keepNext w:val="0"/>
              <w:keepLines w:val="0"/>
              <w:pageBreakBefore w:val="0"/>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鲜活类原料清洗、加工、保管</w:t>
            </w:r>
          </w:p>
          <w:p>
            <w:pPr>
              <w:keepNext w:val="0"/>
              <w:keepLines w:val="0"/>
              <w:pageBreakBefore w:val="0"/>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干货原料的涨发工艺</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原料分档去取料与切割</w:t>
            </w:r>
          </w:p>
        </w:tc>
        <w:tc>
          <w:tcPr>
            <w:tcW w:w="4802" w:type="dxa"/>
            <w:vAlign w:val="center"/>
          </w:tcPr>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 家禽类原料肉类特点及部位分割</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 家畜类原料应用刀法的切割成形</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 海产品宰杀与粗加工</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粤菜烹制与预制加工</w:t>
            </w:r>
          </w:p>
        </w:tc>
        <w:tc>
          <w:tcPr>
            <w:tcW w:w="4802" w:type="dxa"/>
            <w:vAlign w:val="center"/>
          </w:tcPr>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菜肴的形状、色彩、质量与预制</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掌握菜肴的火候</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菜肴的调味调色处理</w:t>
            </w:r>
          </w:p>
          <w:p>
            <w:pPr>
              <w:keepNext w:val="0"/>
              <w:keepLines w:val="0"/>
              <w:pageBreakBefore w:val="0"/>
              <w:numPr>
                <w:ilvl w:val="0"/>
                <w:numId w:val="0"/>
              </w:numPr>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菜肴造型艺术</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成本核算</w:t>
            </w:r>
          </w:p>
        </w:tc>
        <w:tc>
          <w:tcPr>
            <w:tcW w:w="4802" w:type="dxa"/>
            <w:vAlign w:val="center"/>
          </w:tcPr>
          <w:p>
            <w:pPr>
              <w:keepNext w:val="0"/>
              <w:keepLines w:val="0"/>
              <w:pageBreakBefore w:val="0"/>
              <w:numPr>
                <w:ilvl w:val="0"/>
                <w:numId w:val="0"/>
              </w:numPr>
              <w:tabs>
                <w:tab w:val="left" w:pos="312"/>
              </w:tabs>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成本计算方法</w:t>
            </w:r>
          </w:p>
          <w:p>
            <w:pPr>
              <w:keepNext w:val="0"/>
              <w:keepLines w:val="0"/>
              <w:pageBreakBefore w:val="0"/>
              <w:numPr>
                <w:ilvl w:val="0"/>
                <w:numId w:val="0"/>
              </w:numPr>
              <w:tabs>
                <w:tab w:val="left" w:pos="312"/>
              </w:tabs>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毛利率、成本、售价等知识</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饮食卫生知识</w:t>
            </w:r>
          </w:p>
        </w:tc>
        <w:tc>
          <w:tcPr>
            <w:tcW w:w="4802" w:type="dxa"/>
            <w:vAlign w:val="center"/>
          </w:tcPr>
          <w:p>
            <w:pPr>
              <w:keepNext w:val="0"/>
              <w:keepLines w:val="0"/>
              <w:pageBreakBefore w:val="0"/>
              <w:kinsoku/>
              <w:wordWrap/>
              <w:overflowPunct/>
              <w:topLinePunct w:val="0"/>
              <w:autoSpaceDE/>
              <w:autoSpaceDN/>
              <w:bidi w:val="0"/>
              <w:spacing w:line="200" w:lineRule="atLeast"/>
              <w:jc w:val="left"/>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aps/>
                <w:color w:val="auto"/>
                <w:kern w:val="0"/>
                <w:sz w:val="24"/>
                <w:szCs w:val="24"/>
                <w:lang w:val="en-US" w:eastAsia="zh-CN" w:bidi="ar-SA"/>
              </w:rPr>
              <w:t>食品卫生与食品污染等知识</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6" w:type="dxa"/>
            <w:gridSpan w:val="3"/>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合计</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Cs/>
                <w:caps/>
                <w:color w:val="auto"/>
                <w:kern w:val="0"/>
                <w:sz w:val="24"/>
                <w:szCs w:val="24"/>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1" w:type="dxa"/>
            <w:gridSpan w:val="4"/>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aps/>
                <w:color w:val="auto"/>
                <w:kern w:val="0"/>
                <w:sz w:val="24"/>
                <w:szCs w:val="24"/>
                <w:lang w:val="en-US" w:eastAsia="zh-CN" w:bidi="ar-SA"/>
              </w:rPr>
            </w:pPr>
            <w:r>
              <w:rPr>
                <w:rFonts w:hint="eastAsia" w:ascii="仿宋_GB2312" w:hAnsi="仿宋_GB2312" w:eastAsia="仿宋_GB2312" w:cs="仿宋_GB2312"/>
                <w:b/>
                <w:bCs w:val="0"/>
                <w:color w:val="auto"/>
                <w:sz w:val="24"/>
                <w:szCs w:val="24"/>
              </w:rPr>
              <w:t>实操能力</w:t>
            </w:r>
            <w:r>
              <w:rPr>
                <w:rFonts w:hint="eastAsia" w:ascii="仿宋_GB2312" w:hAnsi="仿宋_GB2312" w:eastAsia="仿宋_GB2312" w:cs="仿宋_GB2312"/>
                <w:b/>
                <w:bCs w:val="0"/>
                <w:caps/>
                <w:color w:val="auto"/>
                <w:sz w:val="24"/>
                <w:lang w:eastAsia="zh-CN"/>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工作内容</w:t>
            </w:r>
          </w:p>
        </w:tc>
        <w:tc>
          <w:tcPr>
            <w:tcW w:w="4905" w:type="dxa"/>
            <w:gridSpan w:val="2"/>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技能要求</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aps/>
                <w:color w:val="auto"/>
                <w:sz w:val="24"/>
                <w:lang w:eastAsia="zh-CN"/>
              </w:rPr>
              <w:t>权重比例</w:t>
            </w:r>
            <w:r>
              <w:rPr>
                <w:rFonts w:hint="eastAsia" w:ascii="仿宋_GB2312" w:hAnsi="仿宋_GB2312" w:eastAsia="仿宋_GB2312" w:cs="仿宋_GB2312"/>
                <w:bCs/>
                <w:caps/>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鲜活、干货原料初加工</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能对贝类、爬行类、软体类、虾蟹类原料进行清洗整理等加工</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能对干制鱿、鱼墨等干货原料进行碱发加工</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能对干制鱼肚等干货原料进行涨发加工</w:t>
            </w:r>
            <w:r>
              <w:rPr>
                <w:rFonts w:hint="eastAsia" w:ascii="仿宋_GB2312" w:hAnsi="仿宋_GB2312" w:eastAsia="仿宋_GB2312" w:cs="仿宋_GB2312"/>
                <w:bCs/>
                <w:color w:val="auto"/>
                <w:sz w:val="24"/>
                <w:szCs w:val="24"/>
                <w:lang w:eastAsia="zh-CN"/>
              </w:rPr>
              <w:t>。</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原料分割</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能对整鸡、整鸭、整鱼等原料进行整料脱骨处理</w:t>
            </w:r>
            <w:r>
              <w:rPr>
                <w:rFonts w:hint="eastAsia" w:ascii="仿宋_GB2312" w:hAnsi="仿宋_GB2312" w:eastAsia="仿宋_GB2312" w:cs="仿宋_GB2312"/>
                <w:bCs/>
                <w:color w:val="auto"/>
                <w:sz w:val="24"/>
                <w:szCs w:val="24"/>
                <w:lang w:eastAsia="zh-CN"/>
              </w:rPr>
              <w:t>。</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茸泥原料切割加工</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能将鸡、鱼、虾等动物性原料制成茸。</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能将豆腐、山药等植物性原料制成泥。</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菜肴组配</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能用包、卷、扎、叠等手法组配花色菜肴。</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能运用酿、穿、塑等手法组配花色菜肴。</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制汤、制冻、制茸胶</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能制作毛汤、清汤</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能制作奶汤、浓汤</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能制作鱼、虾类茸胶菜品</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能制作鸡类茸胶菜品</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能制作鱼胶、皮冻类菜肴</w:t>
            </w:r>
            <w:r>
              <w:rPr>
                <w:rFonts w:hint="eastAsia" w:ascii="仿宋_GB2312" w:hAnsi="仿宋_GB2312" w:eastAsia="仿宋_GB2312" w:cs="仿宋_GB2312"/>
                <w:bCs/>
                <w:color w:val="auto"/>
                <w:sz w:val="24"/>
                <w:szCs w:val="24"/>
                <w:lang w:eastAsia="zh-CN"/>
              </w:rPr>
              <w:t>。</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热菜烹制</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能运用水导热中拨丝、蜜汁、扒、煨、炖、贴、塌、糟的烹调方法制作菜肴</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能运用辐射、电磁导热中烤焗的烹调方法制作菜肴</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能组合宴会热菜</w:t>
            </w:r>
            <w:r>
              <w:rPr>
                <w:rFonts w:hint="eastAsia" w:ascii="仿宋_GB2312" w:hAnsi="仿宋_GB2312" w:eastAsia="仿宋_GB2312" w:cs="仿宋_GB2312"/>
                <w:bCs/>
                <w:color w:val="auto"/>
                <w:sz w:val="24"/>
                <w:szCs w:val="24"/>
                <w:lang w:eastAsia="zh-CN"/>
              </w:rPr>
              <w:t>。</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1"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冷菜制作与食品雕刻</w:t>
            </w:r>
          </w:p>
        </w:tc>
        <w:tc>
          <w:tcPr>
            <w:tcW w:w="4905" w:type="dxa"/>
            <w:gridSpan w:val="2"/>
            <w:vAlign w:val="top"/>
          </w:tcPr>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能运用挂霜</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Cs/>
                <w:color w:val="auto"/>
                <w:sz w:val="24"/>
                <w:szCs w:val="24"/>
              </w:rPr>
              <w:t>琉璃</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Cs/>
                <w:color w:val="auto"/>
                <w:sz w:val="24"/>
                <w:szCs w:val="24"/>
              </w:rPr>
              <w:t>糟等烹调方法制作冷菜</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能完成象形冷菜拼摆</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能运用适当的原料进行常见花草鱼虫鸟的雕刻</w:t>
            </w:r>
            <w:r>
              <w:rPr>
                <w:rFonts w:hint="eastAsia" w:ascii="仿宋_GB2312" w:hAnsi="仿宋_GB2312" w:eastAsia="仿宋_GB2312" w:cs="仿宋_GB2312"/>
                <w:bCs/>
                <w:color w:val="auto"/>
                <w:sz w:val="24"/>
                <w:szCs w:val="24"/>
                <w:lang w:eastAsia="zh-CN"/>
              </w:rPr>
              <w:t>。</w:t>
            </w:r>
          </w:p>
          <w:p>
            <w:pPr>
              <w:keepNext w:val="0"/>
              <w:keepLines w:val="0"/>
              <w:pageBreakBefore w:val="0"/>
              <w:kinsoku/>
              <w:wordWrap/>
              <w:overflowPunct/>
              <w:topLinePunct w:val="0"/>
              <w:autoSpaceDE/>
              <w:autoSpaceDN/>
              <w:bidi w:val="0"/>
              <w:spacing w:line="200" w:lineRule="atLeast"/>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 w:val="0"/>
                <w:bCs/>
                <w:color w:val="auto"/>
                <w:sz w:val="24"/>
                <w:szCs w:val="24"/>
                <w:highlight w:val="none"/>
                <w:lang w:val="en-US" w:eastAsia="zh-CN"/>
              </w:rPr>
              <w:t xml:space="preserve">- </w:t>
            </w:r>
            <w:r>
              <w:rPr>
                <w:rFonts w:hint="eastAsia" w:ascii="仿宋_GB2312" w:hAnsi="仿宋_GB2312" w:eastAsia="仿宋_GB2312" w:cs="仿宋_GB2312"/>
                <w:bCs/>
                <w:color w:val="auto"/>
                <w:sz w:val="24"/>
                <w:szCs w:val="24"/>
              </w:rPr>
              <w:t>能组配宴会冷菜</w:t>
            </w:r>
            <w:r>
              <w:rPr>
                <w:rFonts w:hint="eastAsia" w:ascii="仿宋_GB2312" w:hAnsi="仿宋_GB2312" w:eastAsia="仿宋_GB2312" w:cs="仿宋_GB2312"/>
                <w:bCs/>
                <w:color w:val="auto"/>
                <w:sz w:val="24"/>
                <w:szCs w:val="24"/>
                <w:lang w:eastAsia="zh-CN"/>
              </w:rPr>
              <w:t>。</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6" w:type="dxa"/>
            <w:gridSpan w:val="3"/>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合计</w:t>
            </w:r>
          </w:p>
        </w:tc>
        <w:tc>
          <w:tcPr>
            <w:tcW w:w="975" w:type="dxa"/>
            <w:vAlign w:val="center"/>
          </w:tcPr>
          <w:p>
            <w:pPr>
              <w:keepNext w:val="0"/>
              <w:keepLines w:val="0"/>
              <w:pageBreakBefore w:val="0"/>
              <w:kinsoku/>
              <w:wordWrap/>
              <w:overflowPunct/>
              <w:topLinePunct w:val="0"/>
              <w:autoSpaceDE/>
              <w:autoSpaceDN/>
              <w:bidi w:val="0"/>
              <w:spacing w:line="200" w:lineRule="atLeast"/>
              <w:jc w:val="center"/>
              <w:textAlignment w:val="auto"/>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szCs w:val="24"/>
              </w:rPr>
              <w:t>100</w:t>
            </w:r>
          </w:p>
        </w:tc>
      </w:tr>
    </w:tbl>
    <w:p>
      <w:pPr>
        <w:keepNext w:val="0"/>
        <w:keepLines w:val="0"/>
        <w:pageBreakBefore w:val="0"/>
        <w:widowControl w:val="0"/>
        <w:kinsoku/>
        <w:overflowPunct/>
        <w:topLinePunct w:val="0"/>
        <w:autoSpaceDE/>
        <w:autoSpaceDN/>
        <w:bidi w:val="0"/>
        <w:adjustRightInd/>
        <w:spacing w:line="580" w:lineRule="exact"/>
        <w:ind w:firstLine="640" w:firstLineChars="200"/>
        <w:textAlignment w:val="auto"/>
        <w:rPr>
          <w:rFonts w:hint="eastAsia" w:ascii="方正楷体_GB2312" w:hAnsi="方正楷体_GB2312" w:eastAsia="方正楷体_GB2312" w:cs="方正楷体_GB2312"/>
          <w:bCs/>
          <w:sz w:val="32"/>
          <w:szCs w:val="32"/>
        </w:rPr>
      </w:pPr>
      <w:r>
        <w:rPr>
          <w:rFonts w:eastAsia="黑体"/>
          <w:bCs/>
          <w:sz w:val="32"/>
          <w:szCs w:val="32"/>
        </w:rPr>
        <w:t>二、</w:t>
      </w:r>
      <w:r>
        <w:rPr>
          <w:rFonts w:hint="eastAsia" w:eastAsia="黑体"/>
          <w:bCs/>
          <w:sz w:val="32"/>
          <w:szCs w:val="32"/>
        </w:rPr>
        <w:t xml:space="preserve">竞赛内容 </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（一）初赛</w:t>
      </w:r>
    </w:p>
    <w:p>
      <w:pPr>
        <w:pStyle w:val="8"/>
        <w:keepNext w:val="0"/>
        <w:keepLines w:val="0"/>
        <w:pageBreakBefore w:val="0"/>
        <w:widowControl w:val="0"/>
        <w:kinsoku/>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执委会组织专家</w:t>
      </w:r>
      <w:r>
        <w:rPr>
          <w:rFonts w:hint="eastAsia" w:ascii="仿宋_GB2312" w:hAnsi="仿宋_GB2312" w:eastAsia="仿宋_GB2312" w:cs="仿宋_GB2312"/>
          <w:bCs/>
          <w:caps/>
          <w:sz w:val="32"/>
          <w:szCs w:val="32"/>
        </w:rPr>
        <w:t>参照</w:t>
      </w:r>
      <w:r>
        <w:rPr>
          <w:rFonts w:hint="eastAsia" w:ascii="仿宋_GB2312" w:hAnsi="仿宋_GB2312" w:eastAsia="仿宋_GB2312" w:cs="仿宋_GB2312"/>
          <w:bCs/>
          <w:caps/>
          <w:sz w:val="32"/>
          <w:szCs w:val="32"/>
          <w:lang w:val="en-US" w:eastAsia="zh-CN"/>
        </w:rPr>
        <w:t>竞赛标准</w:t>
      </w:r>
      <w:r>
        <w:rPr>
          <w:rFonts w:hint="eastAsia" w:ascii="仿宋_GB2312" w:hAnsi="仿宋_GB2312" w:eastAsia="仿宋_GB2312" w:cs="仿宋_GB2312"/>
          <w:sz w:val="32"/>
          <w:szCs w:val="32"/>
        </w:rPr>
        <w:t>编制800道理论题库，报名开始后对外公布，选手可自行下载学习。赛前执委会从题库中随机抽取</w:t>
      </w: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rPr>
        <w:t>道和现场编制</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道组成90道正式赛题，题型分为单选题、多选题、判断题，满分为100分，60分合格。以计算机上机考核方式进行。</w:t>
      </w:r>
    </w:p>
    <w:p>
      <w:pPr>
        <w:keepNext w:val="0"/>
        <w:keepLines w:val="0"/>
        <w:pageBreakBefore w:val="0"/>
        <w:widowControl w:val="0"/>
        <w:kinsoku/>
        <w:wordWrap w:val="0"/>
        <w:overflowPunct/>
        <w:topLinePunct w:val="0"/>
        <w:autoSpaceDE/>
        <w:autoSpaceDN/>
        <w:bidi w:val="0"/>
        <w:adjustRightInd/>
        <w:spacing w:line="580" w:lineRule="exact"/>
        <w:ind w:firstLine="640" w:firstLineChars="200"/>
        <w:textAlignment w:val="auto"/>
        <w:rPr>
          <w:rStyle w:val="16"/>
          <w:rFonts w:hint="eastAsia" w:ascii="仿宋_GB2312" w:hAnsi="仿宋_GB2312" w:eastAsia="宋体" w:cs="仿宋_GB2312"/>
          <w:color w:val="auto"/>
          <w:spacing w:val="-28"/>
          <w:sz w:val="32"/>
          <w:szCs w:val="32"/>
          <w:u w:val="none"/>
        </w:rPr>
      </w:pPr>
      <w:r>
        <w:rPr>
          <w:rFonts w:hint="eastAsia" w:ascii="仿宋_GB2312" w:hAnsi="仿宋_GB2312" w:eastAsia="仿宋_GB2312" w:cs="仿宋_GB2312"/>
          <w:sz w:val="32"/>
          <w:szCs w:val="32"/>
        </w:rPr>
        <w:t>题库公布网址：</w:t>
      </w:r>
      <w:r>
        <w:rPr>
          <w:rStyle w:val="16"/>
          <w:rFonts w:hint="eastAsia" w:ascii="仿宋_GB2312" w:hAnsi="仿宋_GB2312" w:eastAsia="宋体" w:cs="仿宋_GB2312"/>
          <w:color w:val="auto"/>
          <w:spacing w:val="-28"/>
          <w:sz w:val="32"/>
          <w:szCs w:val="32"/>
          <w:u w:val="none"/>
        </w:rPr>
        <w:fldChar w:fldCharType="begin"/>
      </w:r>
      <w:r>
        <w:rPr>
          <w:rStyle w:val="16"/>
          <w:rFonts w:hint="eastAsia" w:ascii="仿宋_GB2312" w:hAnsi="仿宋_GB2312" w:eastAsia="宋体" w:cs="仿宋_GB2312"/>
          <w:color w:val="auto"/>
          <w:spacing w:val="-28"/>
          <w:sz w:val="32"/>
          <w:szCs w:val="32"/>
          <w:u w:val="none"/>
        </w:rPr>
        <w:instrText xml:space="preserve"> HYPERLINK "http://www.szzx.org.cn/channels/126.html" </w:instrText>
      </w:r>
      <w:r>
        <w:rPr>
          <w:rStyle w:val="16"/>
          <w:rFonts w:hint="eastAsia" w:ascii="仿宋_GB2312" w:hAnsi="仿宋_GB2312" w:eastAsia="宋体" w:cs="仿宋_GB2312"/>
          <w:color w:val="auto"/>
          <w:spacing w:val="-28"/>
          <w:sz w:val="32"/>
          <w:szCs w:val="32"/>
          <w:u w:val="none"/>
        </w:rPr>
        <w:fldChar w:fldCharType="separate"/>
      </w:r>
      <w:r>
        <w:rPr>
          <w:rStyle w:val="16"/>
          <w:rFonts w:hint="eastAsia" w:ascii="仿宋_GB2312" w:hAnsi="仿宋_GB2312" w:eastAsia="宋体" w:cs="仿宋_GB2312"/>
          <w:color w:val="auto"/>
          <w:spacing w:val="-28"/>
          <w:sz w:val="32"/>
          <w:szCs w:val="32"/>
          <w:u w:val="none"/>
        </w:rPr>
        <w:t>http://www.szzx.org.cn/channels/126.html</w:t>
      </w:r>
      <w:r>
        <w:rPr>
          <w:rStyle w:val="16"/>
          <w:rFonts w:hint="eastAsia" w:ascii="仿宋_GB2312" w:hAnsi="仿宋_GB2312" w:eastAsia="宋体" w:cs="仿宋_GB2312"/>
          <w:color w:val="auto"/>
          <w:spacing w:val="-28"/>
          <w:sz w:val="32"/>
          <w:szCs w:val="32"/>
          <w:u w:val="none"/>
        </w:rPr>
        <w:fldChar w:fldCharType="end"/>
      </w:r>
      <w:r>
        <w:rPr>
          <w:rStyle w:val="16"/>
          <w:rFonts w:hint="eastAsia" w:ascii="仿宋_GB2312" w:hAnsi="仿宋_GB2312" w:eastAsia="宋体" w:cs="仿宋_GB2312"/>
          <w:color w:val="auto"/>
          <w:spacing w:val="-28"/>
          <w:sz w:val="32"/>
          <w:szCs w:val="32"/>
          <w:u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（二）决赛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执委会组织专家参照竞赛标准并结合实际命题，以现场实际操作的方式，完成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两</w:t>
      </w:r>
      <w:r>
        <w:rPr>
          <w:rFonts w:hint="eastAsia" w:ascii="仿宋_GB2312" w:hAnsi="仿宋_GB2312" w:eastAsia="仿宋_GB2312" w:cs="仿宋_GB2312"/>
          <w:color w:val="000000" w:themeColor="text1"/>
          <w:sz w:val="32"/>
          <w:szCs w:val="32"/>
          <w14:textFill>
            <w14:solidFill>
              <w14:schemeClr w14:val="tx1"/>
            </w14:solidFill>
          </w14:textFill>
        </w:rPr>
        <w:t>个模块的实际操作。具体内容如下：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模块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指定品种(南澳海胆炒饭)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菜式作品要求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由现场提供材料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香米饭350克，鲜海胆100-150克，鲜鸡蛋1个，长豆角50克，香葱、姜各50克，基础调味品各适量。成菜主盘装盘饱满，重量为400±50克，成品菜统一用12寸白色圆碟盛装（由现场统一提供），不得摆放任何装饰物。另上二份位上菜（裁判试味评分用），每份作品</w:t>
      </w:r>
      <w:r>
        <w:rPr>
          <w:rFonts w:hint="eastAsia"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rPr>
        <w:t>50克为准。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菜肴品质要求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色泽：米饭颗粒色泽金黄，翠绿点缀</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香气：海胆鲜味明显突出</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味道：咸鲜滋味</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质地：口感弹牙，软硬适中有嚼劲</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外形：米饭颗粒分明、蓬松</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卫生：盛器洁净无杂物污染，菜品熟度合适。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模块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自选品种(参赛选手按竞赛要求</w:t>
      </w:r>
      <w:r>
        <w:rPr>
          <w:rFonts w:hint="eastAsia" w:ascii="仿宋_GB2312" w:hAnsi="仿宋_GB2312" w:eastAsia="仿宋_GB2312" w:cs="仿宋_GB2312"/>
          <w:sz w:val="32"/>
          <w:szCs w:val="32"/>
        </w:rPr>
        <w:t>自拟设计烹制一道具有创新理念的粤式热菜</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菜式作品要求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由参赛选手自备一切食材、特殊调味品和</w:t>
      </w:r>
      <w:r>
        <w:rPr>
          <w:rFonts w:hint="eastAsia" w:ascii="仿宋_GB2312" w:hAnsi="仿宋_GB2312" w:eastAsia="仿宋_GB2312" w:cs="仿宋_GB2312"/>
          <w:sz w:val="32"/>
          <w:szCs w:val="32"/>
          <w:lang w:val="en-US" w:eastAsia="zh-CN"/>
        </w:rPr>
        <w:t>所需</w:t>
      </w:r>
      <w:r>
        <w:rPr>
          <w:rFonts w:hint="eastAsia" w:ascii="仿宋_GB2312" w:hAnsi="仿宋_GB2312" w:eastAsia="仿宋_GB2312" w:cs="仿宋_GB2312"/>
          <w:sz w:val="32"/>
          <w:szCs w:val="32"/>
        </w:rPr>
        <w:t>餐具器皿，携带进场参赛。烹调技法不作限定，但主料不得与规定菜肴相同，选手现场单独完成烹饪制作，每份菜肴主、辅料合计不少于500克、不多于1000克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另上二份位上菜（裁判试味评分用）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每份不少于50克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不多于150克。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菜肴质量要求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口感与质感：符合菜肴设定的口味与质感要求，调味适当，主味突出，味道鲜美，无焦糊味、腥膻味等不良气味.选料精细，质感鲜明，符合该菜肴应有的嫩、滑、爽、脆、软、酥等特点</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工艺与火候：符合该菜品的烹饪要求，菜肴制作水平高，工艺流程合理，结合原料或菜品的特点运用火候得当，凸显菜肴风味特点</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形态与色泽：用料搭配合理，数量符合要求，刀工细腻，刀面光洁整齐，大小合理匀称，形态优美自然，色泽鲜明悦目，汁芡适当</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创新与可推广：菜肴</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rPr>
        <w:t>有一定的创意，选料与烹制流程简单容易操作，可食性高，可应用性强等</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装盘与卫生：选料讲究，营养健康，装摆整洁美观，餐具与菜肴协调相得益彰。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注：1.参赛所需食材可在场外完成初加工</w:t>
      </w:r>
      <w:r>
        <w:rPr>
          <w:rFonts w:hint="eastAsia" w:ascii="仿宋_GB2312" w:hAnsi="仿宋_GB2312" w:eastAsia="仿宋_GB2312" w:cs="仿宋_GB2312"/>
          <w:sz w:val="32"/>
          <w:szCs w:val="32"/>
          <w:lang w:eastAsia="zh-CN"/>
        </w:rPr>
        <w:t>（只能洗净，不能改刀、</w:t>
      </w:r>
      <w:r>
        <w:rPr>
          <w:rFonts w:hint="eastAsia" w:ascii="仿宋_GB2312" w:hAnsi="仿宋_GB2312" w:eastAsia="仿宋_GB2312" w:cs="仿宋_GB2312"/>
          <w:sz w:val="32"/>
          <w:szCs w:val="32"/>
          <w:lang w:val="en-US" w:eastAsia="zh-CN"/>
        </w:rPr>
        <w:t>腌制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，精细加工与调味、成熟及成型必须在现场完成。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2.自选菜式由选手自行设计，所使用的食材必须在国家法律法规允许使用范围内，不得使用高档食材(如干鲍鱼、鱼翅、燕窝等)，自带材料、刀具、用具、盛装器皿、菜肴装饰及特殊调味品等进行现场独立创作。</w:t>
      </w:r>
    </w:p>
    <w:p>
      <w:pPr>
        <w:keepNext w:val="0"/>
        <w:keepLines w:val="0"/>
        <w:pageBreakBefore w:val="0"/>
        <w:widowControl w:val="0"/>
        <w:kinsoku/>
        <w:overflowPunct/>
        <w:topLinePunct w:val="0"/>
        <w:autoSpaceDE/>
        <w:autoSpaceDN/>
        <w:bidi w:val="0"/>
        <w:adjustRightIn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（三）竞赛时间</w:t>
      </w:r>
    </w:p>
    <w:tbl>
      <w:tblPr>
        <w:tblStyle w:val="13"/>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730"/>
        <w:gridCol w:w="2705"/>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赛程</w:t>
            </w:r>
          </w:p>
        </w:tc>
        <w:tc>
          <w:tcPr>
            <w:tcW w:w="5435"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方式</w:t>
            </w:r>
          </w:p>
        </w:tc>
        <w:tc>
          <w:tcPr>
            <w:tcW w:w="167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时间（分钟）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8"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初赛</w:t>
            </w:r>
          </w:p>
        </w:tc>
        <w:tc>
          <w:tcPr>
            <w:tcW w:w="5435" w:type="dxa"/>
            <w:gridSpan w:val="2"/>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理论知识上机考核</w:t>
            </w:r>
          </w:p>
        </w:tc>
        <w:tc>
          <w:tcPr>
            <w:tcW w:w="167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28"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决赛</w:t>
            </w:r>
          </w:p>
        </w:tc>
        <w:tc>
          <w:tcPr>
            <w:tcW w:w="2730"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实际操作现场实操</w:t>
            </w:r>
          </w:p>
        </w:tc>
        <w:tc>
          <w:tcPr>
            <w:tcW w:w="270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模块</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rPr>
              <w:t>指定品种</w:t>
            </w:r>
          </w:p>
        </w:tc>
        <w:tc>
          <w:tcPr>
            <w:tcW w:w="1675"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28"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p>
        </w:tc>
        <w:tc>
          <w:tcPr>
            <w:tcW w:w="2730"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p>
        </w:tc>
        <w:tc>
          <w:tcPr>
            <w:tcW w:w="270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模块</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rPr>
              <w:t>自选品种</w:t>
            </w:r>
          </w:p>
        </w:tc>
        <w:tc>
          <w:tcPr>
            <w:tcW w:w="1675"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方正仿宋_GB2312" w:hAnsi="方正仿宋_GB2312" w:eastAsia="方正仿宋_GB2312" w:cs="方正仿宋_GB2312"/>
                <w:sz w:val="28"/>
                <w:szCs w:val="28"/>
              </w:rPr>
            </w:pP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三、评判标准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（一）分数权重</w:t>
      </w:r>
    </w:p>
    <w:tbl>
      <w:tblPr>
        <w:tblStyle w:val="13"/>
        <w:tblW w:w="8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671"/>
        <w:gridCol w:w="1125"/>
        <w:gridCol w:w="143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13"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赛程</w:t>
            </w:r>
          </w:p>
        </w:tc>
        <w:tc>
          <w:tcPr>
            <w:tcW w:w="2671"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竞赛内容</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配分</w:t>
            </w:r>
          </w:p>
        </w:tc>
        <w:tc>
          <w:tcPr>
            <w:tcW w:w="1430"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分数权重</w:t>
            </w:r>
          </w:p>
        </w:tc>
        <w:tc>
          <w:tcPr>
            <w:tcW w:w="193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综合成绩占比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13"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初赛</w:t>
            </w:r>
          </w:p>
        </w:tc>
        <w:tc>
          <w:tcPr>
            <w:tcW w:w="2671"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理论知识</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100分</w:t>
            </w:r>
          </w:p>
        </w:tc>
        <w:tc>
          <w:tcPr>
            <w:tcW w:w="1430"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100%</w:t>
            </w:r>
          </w:p>
        </w:tc>
        <w:tc>
          <w:tcPr>
            <w:tcW w:w="193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13"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决赛</w:t>
            </w:r>
          </w:p>
        </w:tc>
        <w:tc>
          <w:tcPr>
            <w:tcW w:w="2671"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模块</w:t>
            </w:r>
            <w:r>
              <w:rPr>
                <w:rFonts w:hint="eastAsia" w:ascii="仿宋_GB2312" w:hAnsi="仿宋_GB2312" w:eastAsia="仿宋_GB2312" w:cs="仿宋_GB2312"/>
                <w:sz w:val="28"/>
                <w:szCs w:val="28"/>
                <w:lang w:val="en-US" w:eastAsia="zh-CN"/>
              </w:rPr>
              <w:t>一</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100分</w:t>
            </w:r>
          </w:p>
        </w:tc>
        <w:tc>
          <w:tcPr>
            <w:tcW w:w="1430"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40%</w:t>
            </w:r>
          </w:p>
        </w:tc>
        <w:tc>
          <w:tcPr>
            <w:tcW w:w="1935" w:type="dxa"/>
            <w:vMerge w:val="restart"/>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13"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p>
        </w:tc>
        <w:tc>
          <w:tcPr>
            <w:tcW w:w="2671"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模块</w:t>
            </w:r>
            <w:r>
              <w:rPr>
                <w:rFonts w:hint="eastAsia" w:ascii="仿宋_GB2312" w:hAnsi="仿宋_GB2312" w:eastAsia="仿宋_GB2312" w:cs="仿宋_GB2312"/>
                <w:sz w:val="28"/>
                <w:szCs w:val="28"/>
                <w:lang w:val="en-US" w:eastAsia="zh-CN"/>
              </w:rPr>
              <w:t>二</w:t>
            </w:r>
          </w:p>
        </w:tc>
        <w:tc>
          <w:tcPr>
            <w:tcW w:w="112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100分</w:t>
            </w:r>
          </w:p>
        </w:tc>
        <w:tc>
          <w:tcPr>
            <w:tcW w:w="1430"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60%</w:t>
            </w:r>
          </w:p>
        </w:tc>
        <w:tc>
          <w:tcPr>
            <w:tcW w:w="1935" w:type="dxa"/>
            <w:vMerge w:val="continue"/>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239" w:type="dxa"/>
            <w:gridSpan w:val="4"/>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合计</w:t>
            </w:r>
          </w:p>
        </w:tc>
        <w:tc>
          <w:tcPr>
            <w:tcW w:w="1935" w:type="dxa"/>
            <w:vAlign w:val="center"/>
          </w:tcPr>
          <w:p>
            <w:pPr>
              <w:pStyle w:val="7"/>
              <w:keepNext w:val="0"/>
              <w:keepLines w:val="0"/>
              <w:pageBreakBefore w:val="0"/>
              <w:widowControl w:val="0"/>
              <w:kinsoku/>
              <w:wordWrap/>
              <w:overflowPunct/>
              <w:topLinePunct w:val="0"/>
              <w:autoSpaceDE/>
              <w:autoSpaceDN/>
              <w:bidi w:val="0"/>
              <w:adjustRightInd/>
              <w:snapToGrid/>
              <w:spacing w:line="58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100%</w:t>
            </w: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（二）评分标准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1.初赛由计算机系统自动评分。其中，单选题60题，每题1分；多选题10题，每题2分；判断题20题，每题1分；各题型错选、多选或少选均不得分。</w:t>
      </w:r>
    </w:p>
    <w:p>
      <w:pPr>
        <w:pStyle w:val="7"/>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2.决赛由裁判根据现场评分表评分。评分标准配分细则以现场评分表为准。评分标准如下：</w:t>
      </w:r>
    </w:p>
    <w:tbl>
      <w:tblPr>
        <w:tblStyle w:val="12"/>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3443"/>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1653"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评分项目</w:t>
            </w: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评分标准</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jc w:val="center"/>
        </w:trPr>
        <w:tc>
          <w:tcPr>
            <w:tcW w:w="1653" w:type="pct"/>
            <w:vMerge w:val="restart"/>
            <w:tcBorders>
              <w:top w:val="single" w:color="auto" w:sz="4" w:space="0"/>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模块</w:t>
            </w:r>
            <w:r>
              <w:rPr>
                <w:rFonts w:hint="eastAsia" w:ascii="仿宋_GB2312" w:hAnsi="仿宋_GB2312" w:eastAsia="仿宋_GB2312" w:cs="仿宋_GB2312"/>
                <w:sz w:val="24"/>
                <w:szCs w:val="24"/>
              </w:rPr>
              <w:t>一</w:t>
            </w:r>
          </w:p>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指定品种</w:t>
            </w:r>
          </w:p>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南澳海胆炒饭</w:t>
            </w:r>
            <w:r>
              <w:rPr>
                <w:rFonts w:hint="eastAsia" w:ascii="仿宋_GB2312" w:hAnsi="仿宋_GB2312" w:eastAsia="仿宋_GB2312" w:cs="仿宋_GB2312"/>
                <w:sz w:val="24"/>
                <w:szCs w:val="24"/>
                <w:lang w:eastAsia="zh-CN"/>
              </w:rPr>
              <w:t>）</w:t>
            </w: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1.色泽</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2.香气</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3.味道</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质地</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5.外形</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6.卫生</w:t>
            </w:r>
          </w:p>
        </w:tc>
        <w:tc>
          <w:tcPr>
            <w:tcW w:w="1286" w:type="pct"/>
            <w:tcBorders>
              <w:top w:val="single" w:color="auto" w:sz="4" w:space="0"/>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53" w:type="pct"/>
            <w:vMerge w:val="restart"/>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模块</w:t>
            </w:r>
            <w:r>
              <w:rPr>
                <w:rFonts w:hint="eastAsia" w:ascii="仿宋_GB2312" w:hAnsi="仿宋_GB2312" w:eastAsia="仿宋_GB2312" w:cs="仿宋_GB2312"/>
                <w:sz w:val="24"/>
                <w:szCs w:val="24"/>
              </w:rPr>
              <w:t>二</w:t>
            </w:r>
          </w:p>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自选</w:t>
            </w:r>
            <w:r>
              <w:rPr>
                <w:rFonts w:hint="eastAsia" w:ascii="仿宋_GB2312" w:hAnsi="仿宋_GB2312" w:eastAsia="仿宋_GB2312" w:cs="仿宋_GB2312"/>
                <w:sz w:val="24"/>
                <w:szCs w:val="24"/>
                <w:lang w:val="en-US" w:eastAsia="zh-CN"/>
              </w:rPr>
              <w:t>品钟</w:t>
            </w: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1.口味、质感</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2.工艺、火候</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3.形态、色泽</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4.创新、可推广价值</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53" w:type="pct"/>
            <w:vMerge w:val="continue"/>
            <w:tcBorders>
              <w:left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p>
        </w:tc>
        <w:tc>
          <w:tcPr>
            <w:tcW w:w="2059"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5.装盘、卫生</w:t>
            </w:r>
          </w:p>
        </w:tc>
        <w:tc>
          <w:tcPr>
            <w:tcW w:w="1286"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现场扣分：</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1.不配合现场指挥，未按规定清理工位，擅自离开现场，扣1-10分。</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2.使用违禁调味品或非食品添加剂、夹带成品或半成品进场的将取消竞赛资格。</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3.比赛时间结束，每超过1分钟扣2分，超过10分钟该菜肴不给予判分分数。</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4.操作流程不规范，烹制技法不熟练：扣1-10分。</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5.原料使用或存放不合理，物料没有分类处理和造成浪费的；扣1-10分。</w:t>
            </w:r>
          </w:p>
          <w:p>
            <w:pPr>
              <w:pStyle w:val="7"/>
              <w:keepNext w:val="0"/>
              <w:keepLines w:val="0"/>
              <w:pageBreakBefore w:val="0"/>
              <w:widowControl w:val="0"/>
              <w:kinsoku/>
              <w:wordWrap/>
              <w:overflowPunct/>
              <w:topLinePunct w:val="0"/>
              <w:autoSpaceDE/>
              <w:autoSpaceDN/>
              <w:bidi w:val="0"/>
              <w:adjustRightInd/>
              <w:snapToGrid/>
              <w:spacing w:line="200" w:lineRule="atLeas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6.不按安全和卫生要求操作导致发生事故，视严重程度扣1-10分，严重者可取消比赛资格。</w:t>
            </w: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（三）评判方法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FF0000"/>
          <w:sz w:val="32"/>
          <w:szCs w:val="32"/>
        </w:rPr>
      </w:pPr>
      <w:bookmarkStart w:id="0" w:name="_Hlk517772471"/>
      <w:r>
        <w:rPr>
          <w:rFonts w:hint="eastAsia" w:ascii="仿宋_GB2312" w:hAnsi="仿宋_GB2312" w:eastAsia="仿宋_GB2312" w:cs="仿宋_GB2312"/>
          <w:sz w:val="32"/>
          <w:szCs w:val="32"/>
        </w:rPr>
        <w:t>1.初赛成绩由计算机系统自动判分，选手初赛成绩以得分高低排名。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2.决赛</w:t>
      </w:r>
      <w:r>
        <w:rPr>
          <w:rFonts w:hint="eastAsia" w:ascii="仿宋_GB2312" w:hAnsi="仿宋_GB2312" w:eastAsia="仿宋_GB2312" w:cs="仿宋_GB2312"/>
          <w:sz w:val="32"/>
          <w:szCs w:val="32"/>
          <w:lang w:val="en-US" w:eastAsia="zh-CN"/>
        </w:rPr>
        <w:t>裁判组以</w:t>
      </w:r>
      <w:r>
        <w:rPr>
          <w:rFonts w:hint="eastAsia" w:ascii="仿宋_GB2312" w:hAnsi="仿宋_GB2312" w:eastAsia="仿宋_GB2312" w:cs="仿宋_GB2312"/>
          <w:sz w:val="32"/>
          <w:szCs w:val="32"/>
        </w:rPr>
        <w:t>裁判长1</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（不参与评分），现场裁判2</w:t>
      </w:r>
      <w:r>
        <w:rPr>
          <w:rFonts w:hint="eastAsia" w:ascii="仿宋_GB2312" w:hAnsi="仿宋_GB2312" w:eastAsia="仿宋_GB2312" w:cs="仿宋_GB2312"/>
          <w:sz w:val="32"/>
          <w:szCs w:val="32"/>
          <w:lang w:val="en-US" w:eastAsia="zh-CN"/>
        </w:rPr>
        <w:t>名和</w:t>
      </w:r>
      <w:r>
        <w:rPr>
          <w:rFonts w:hint="eastAsia" w:ascii="仿宋_GB2312" w:hAnsi="仿宋_GB2312" w:eastAsia="仿宋_GB2312" w:cs="仿宋_GB2312"/>
          <w:sz w:val="32"/>
          <w:szCs w:val="32"/>
        </w:rPr>
        <w:t>试味裁判5</w:t>
      </w:r>
      <w:r>
        <w:rPr>
          <w:rFonts w:hint="eastAsia" w:ascii="仿宋_GB2312" w:hAnsi="仿宋_GB2312" w:eastAsia="仿宋_GB2312" w:cs="仿宋_GB2312"/>
          <w:sz w:val="32"/>
          <w:szCs w:val="32"/>
          <w:lang w:val="en-US" w:eastAsia="zh-CN"/>
        </w:rPr>
        <w:t>名</w:t>
      </w:r>
      <w:r>
        <w:rPr>
          <w:rFonts w:hint="eastAsia" w:ascii="仿宋_GB2312" w:hAnsi="仿宋_GB2312" w:eastAsia="仿宋_GB2312" w:cs="仿宋_GB2312"/>
          <w:sz w:val="32"/>
          <w:szCs w:val="32"/>
        </w:rPr>
        <w:t>组成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现场裁判依据参赛选手的实际操作情况按竞赛评分表</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评判、计分</w:t>
      </w:r>
      <w:bookmarkEnd w:id="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试味裁判依据参赛选手的</w:t>
      </w:r>
      <w:r>
        <w:rPr>
          <w:rFonts w:hint="eastAsia" w:ascii="仿宋_GB2312" w:hAnsi="仿宋_GB2312" w:eastAsia="仿宋_GB2312" w:cs="仿宋_GB2312"/>
          <w:color w:val="000000" w:themeColor="text1"/>
          <w:sz w:val="32"/>
          <w:szCs w:val="32"/>
          <w14:textFill>
            <w14:solidFill>
              <w14:schemeClr w14:val="tx1"/>
            </w14:solidFill>
          </w14:textFill>
        </w:rPr>
        <w:t>菜肴</w:t>
      </w:r>
      <w:r>
        <w:rPr>
          <w:rFonts w:hint="eastAsia" w:ascii="仿宋_GB2312" w:hAnsi="仿宋_GB2312" w:eastAsia="仿宋_GB2312" w:cs="仿宋_GB2312"/>
          <w:sz w:val="32"/>
          <w:szCs w:val="32"/>
        </w:rPr>
        <w:t>按竞赛评分表</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评判、计分</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裁判组对最终成绩</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签字确认。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.裁判长对所有裁判员的打分过程的公平、公正性进行监督。裁判员执裁期间若有争议，由裁判长裁决。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（四）综合排名</w:t>
      </w:r>
    </w:p>
    <w:p>
      <w:pPr>
        <w:pStyle w:val="25"/>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参赛选手最终名次依据初赛和决赛两部分成绩按比例累加的综合成绩进行排名，成绩均四舍五入保留两位小数点。其中初赛成绩占20%、决赛成绩占80%，即参赛选手赛后综合成绩=初赛成绩×20%+决赛成绩×80%。当综合成绩相同时，以决赛成绩高者名次在前，若仍相同时，则以</w:t>
      </w:r>
      <w:r>
        <w:rPr>
          <w:rFonts w:hint="eastAsia" w:ascii="仿宋_GB2312" w:hAnsi="仿宋_GB2312" w:cs="仿宋_GB2312"/>
          <w:kern w:val="2"/>
          <w:sz w:val="32"/>
          <w:szCs w:val="32"/>
          <w:lang w:val="en-US" w:eastAsia="zh-CN" w:bidi="ar-SA"/>
        </w:rPr>
        <w:t>决赛</w:t>
      </w:r>
      <w:r>
        <w:rPr>
          <w:rFonts w:hint="eastAsia" w:ascii="仿宋_GB2312" w:hAnsi="仿宋_GB2312" w:eastAsia="仿宋_GB2312" w:cs="仿宋_GB2312"/>
          <w:kern w:val="2"/>
          <w:sz w:val="32"/>
          <w:szCs w:val="32"/>
          <w:lang w:val="en-US" w:eastAsia="zh-CN" w:bidi="ar-SA"/>
        </w:rPr>
        <w:t>自选品种</w:t>
      </w:r>
      <w:r>
        <w:rPr>
          <w:rFonts w:hint="eastAsia" w:ascii="仿宋_GB2312" w:hAnsi="仿宋_GB2312" w:cs="仿宋_GB2312"/>
          <w:kern w:val="2"/>
          <w:sz w:val="32"/>
          <w:szCs w:val="32"/>
          <w:lang w:val="en-US" w:eastAsia="zh-CN" w:bidi="ar-SA"/>
        </w:rPr>
        <w:t>模块</w:t>
      </w:r>
      <w:r>
        <w:rPr>
          <w:rFonts w:hint="eastAsia" w:ascii="仿宋_GB2312" w:hAnsi="仿宋_GB2312" w:eastAsia="仿宋_GB2312" w:cs="仿宋_GB2312"/>
          <w:kern w:val="2"/>
          <w:sz w:val="32"/>
          <w:szCs w:val="32"/>
          <w:lang w:val="en-US" w:eastAsia="zh-CN" w:bidi="ar-SA"/>
        </w:rPr>
        <w:t>得分高者</w:t>
      </w:r>
      <w:r>
        <w:rPr>
          <w:rFonts w:hint="eastAsia" w:ascii="仿宋_GB2312" w:hAnsi="仿宋_GB2312" w:cs="仿宋_GB2312"/>
          <w:kern w:val="2"/>
          <w:sz w:val="32"/>
          <w:szCs w:val="32"/>
          <w:lang w:val="en-US" w:eastAsia="zh-CN" w:bidi="ar-SA"/>
        </w:rPr>
        <w:t>排名</w:t>
      </w:r>
      <w:r>
        <w:rPr>
          <w:rFonts w:hint="eastAsia" w:ascii="仿宋_GB2312" w:hAnsi="仿宋_GB2312" w:eastAsia="仿宋_GB2312" w:cs="仿宋_GB2312"/>
          <w:kern w:val="2"/>
          <w:sz w:val="32"/>
          <w:szCs w:val="32"/>
          <w:lang w:val="en-US" w:eastAsia="zh-CN" w:bidi="ar-SA"/>
        </w:rPr>
        <w:t>靠前。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四、竞赛场地设备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sz w:val="32"/>
          <w:szCs w:val="32"/>
          <w:lang w:eastAsia="zh-CN"/>
        </w:rPr>
        <w:t>（一）赛场规格</w:t>
      </w:r>
    </w:p>
    <w:p>
      <w:pPr>
        <w:pStyle w:val="25"/>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1.初赛。参照计算机类工种职业技能鉴定要求布置赛场，配备与参赛人数相适应的计算机设备及桌椅，并留有一定数量的备用</w:t>
      </w:r>
      <w:r>
        <w:rPr>
          <w:rFonts w:hint="eastAsia" w:ascii="仿宋_GB2312" w:hAnsi="仿宋_GB2312" w:cs="仿宋_GB2312"/>
          <w:kern w:val="2"/>
          <w:sz w:val="32"/>
          <w:szCs w:val="32"/>
          <w:lang w:val="en-US" w:eastAsia="zh-CN" w:bidi="ar-SA"/>
        </w:rPr>
        <w:t>工位</w:t>
      </w:r>
      <w:r>
        <w:rPr>
          <w:rFonts w:hint="eastAsia" w:ascii="仿宋_GB2312" w:hAnsi="仿宋_GB2312" w:eastAsia="仿宋_GB2312" w:cs="仿宋_GB2312"/>
          <w:kern w:val="2"/>
          <w:sz w:val="32"/>
          <w:szCs w:val="32"/>
          <w:lang w:val="en-US" w:eastAsia="zh-CN" w:bidi="ar-SA"/>
        </w:rPr>
        <w:t>。</w:t>
      </w:r>
    </w:p>
    <w:p>
      <w:pPr>
        <w:pStyle w:val="25"/>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2.决赛。</w:t>
      </w:r>
      <w:r>
        <w:rPr>
          <w:rFonts w:hint="eastAsia" w:ascii="仿宋_GB2312" w:hAnsi="仿宋_GB2312" w:cs="仿宋_GB2312"/>
          <w:kern w:val="2"/>
          <w:sz w:val="32"/>
          <w:szCs w:val="32"/>
          <w:lang w:val="en-US" w:eastAsia="zh-CN" w:bidi="ar-SA"/>
        </w:rPr>
        <w:t>由竞赛</w:t>
      </w:r>
      <w:r>
        <w:rPr>
          <w:rFonts w:hint="eastAsia" w:ascii="仿宋_GB2312" w:hAnsi="仿宋_GB2312" w:eastAsia="仿宋_GB2312" w:cs="仿宋_GB2312"/>
          <w:kern w:val="2"/>
          <w:sz w:val="32"/>
          <w:szCs w:val="32"/>
          <w:lang w:val="en-US" w:eastAsia="zh-CN" w:bidi="ar-SA"/>
        </w:rPr>
        <w:t>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70㎡</w:t>
      </w:r>
      <w:r>
        <w:rPr>
          <w:rFonts w:hint="eastAsia" w:ascii="仿宋_GB2312" w:hAnsi="仿宋_GB2312" w:cs="仿宋_GB2312"/>
          <w:kern w:val="2"/>
          <w:sz w:val="32"/>
          <w:szCs w:val="32"/>
          <w:lang w:val="en-US" w:eastAsia="zh-CN" w:bidi="ar-SA"/>
        </w:rPr>
        <w:t>）、候</w:t>
      </w:r>
      <w:r>
        <w:rPr>
          <w:rFonts w:hint="eastAsia" w:ascii="仿宋_GB2312" w:hAnsi="仿宋_GB2312" w:eastAsia="仿宋_GB2312" w:cs="仿宋_GB2312"/>
          <w:kern w:val="2"/>
          <w:sz w:val="32"/>
          <w:szCs w:val="32"/>
          <w:lang w:val="en-US" w:eastAsia="zh-CN" w:bidi="ar-SA"/>
        </w:rPr>
        <w:t>赛区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30㎡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检录区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10㎡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换号区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5㎡</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评分区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20㎡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展示区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140㎡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存货区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10㎡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医疗室</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10㎡</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选手更衣室</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10㎡</w:t>
      </w:r>
      <w:r>
        <w:rPr>
          <w:rFonts w:hint="eastAsia" w:ascii="仿宋_GB2312" w:hAnsi="仿宋_GB2312" w:cs="仿宋_GB2312"/>
          <w:kern w:val="2"/>
          <w:sz w:val="32"/>
          <w:szCs w:val="32"/>
          <w:lang w:val="en-US" w:eastAsia="zh-CN" w:bidi="ar-SA"/>
        </w:rPr>
        <w:t>）组成，约</w:t>
      </w:r>
      <w:r>
        <w:rPr>
          <w:rFonts w:hint="eastAsia" w:ascii="仿宋_GB2312" w:hAnsi="仿宋_GB2312" w:eastAsia="仿宋_GB2312" w:cs="仿宋_GB2312"/>
          <w:kern w:val="2"/>
          <w:sz w:val="32"/>
          <w:szCs w:val="32"/>
          <w:lang w:val="en-US" w:eastAsia="zh-CN" w:bidi="ar-SA"/>
        </w:rPr>
        <w:t>300㎡。</w:t>
      </w:r>
      <w:r>
        <w:rPr>
          <w:rFonts w:hint="eastAsia" w:ascii="仿宋_GB2312" w:hAnsi="仿宋_GB2312" w:cs="仿宋_GB2312"/>
          <w:kern w:val="2"/>
          <w:sz w:val="32"/>
          <w:szCs w:val="32"/>
          <w:lang w:val="en-US" w:eastAsia="zh-CN" w:bidi="ar-SA"/>
        </w:rPr>
        <w:t>竞赛区独立工位</w:t>
      </w:r>
      <w:r>
        <w:rPr>
          <w:rFonts w:hint="eastAsia" w:ascii="仿宋_GB2312" w:hAnsi="仿宋_GB2312" w:eastAsia="仿宋_GB2312" w:cs="仿宋_GB2312"/>
          <w:kern w:val="2"/>
          <w:sz w:val="32"/>
          <w:szCs w:val="32"/>
          <w:lang w:val="en-US" w:eastAsia="zh-CN" w:bidi="ar-SA"/>
        </w:rPr>
        <w:t>12个</w:t>
      </w:r>
      <w:r>
        <w:rPr>
          <w:rFonts w:hint="eastAsia" w:ascii="仿宋_GB2312" w:hAnsi="仿宋_GB2312" w:cs="仿宋_GB2312"/>
          <w:kern w:val="2"/>
          <w:sz w:val="32"/>
          <w:szCs w:val="32"/>
          <w:lang w:val="en-US" w:eastAsia="zh-CN" w:bidi="ar-SA"/>
        </w:rPr>
        <w:t>，为L型，每个工位长2米，宽1.5米，工位间隔1米</w:t>
      </w:r>
      <w:r>
        <w:rPr>
          <w:rFonts w:hint="eastAsia" w:ascii="仿宋_GB2312" w:hAnsi="仿宋_GB2312" w:eastAsia="仿宋_GB2312" w:cs="仿宋_GB2312"/>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rPr>
        <w:t>（二）</w:t>
      </w:r>
      <w:r>
        <w:rPr>
          <w:rFonts w:hint="eastAsia" w:ascii="Times New Roman" w:hAnsi="Times New Roman" w:eastAsia="楷体_GB2312" w:cs="Times New Roman"/>
          <w:b w:val="0"/>
          <w:bCs w:val="0"/>
          <w:color w:val="auto"/>
          <w:sz w:val="32"/>
          <w:szCs w:val="32"/>
          <w:highlight w:val="none"/>
          <w:lang w:val="en-US" w:eastAsia="zh-CN"/>
        </w:rPr>
        <w:t>决赛</w:t>
      </w:r>
      <w:r>
        <w:rPr>
          <w:rFonts w:hint="default" w:ascii="Times New Roman" w:hAnsi="Times New Roman" w:eastAsia="楷体_GB2312" w:cs="Times New Roman"/>
          <w:b w:val="0"/>
          <w:bCs w:val="0"/>
          <w:color w:val="auto"/>
          <w:sz w:val="32"/>
          <w:szCs w:val="32"/>
          <w:highlight w:val="none"/>
        </w:rPr>
        <w:t>场地布局图</w:t>
      </w:r>
    </w:p>
    <w:p>
      <w:pPr>
        <w:pStyle w:val="2"/>
        <w:rPr>
          <w:rFonts w:hint="default"/>
        </w:rPr>
      </w:pPr>
      <w:r>
        <w:rPr>
          <w:rFonts w:hint="eastAsia" w:ascii="方正楷体_GB2312" w:hAnsi="方正楷体_GB2312" w:eastAsia="方正楷体_GB2312" w:cs="方正楷体_GB2312"/>
          <w:bCs/>
          <w:sz w:val="32"/>
          <w:szCs w:val="32"/>
        </w:rPr>
        <w:drawing>
          <wp:anchor distT="0" distB="0" distL="114300" distR="114300" simplePos="0" relativeHeight="251659264" behindDoc="1" locked="0" layoutInCell="1" allowOverlap="1">
            <wp:simplePos x="0" y="0"/>
            <wp:positionH relativeFrom="margin">
              <wp:posOffset>-60325</wp:posOffset>
            </wp:positionH>
            <wp:positionV relativeFrom="margin">
              <wp:posOffset>-516890</wp:posOffset>
            </wp:positionV>
            <wp:extent cx="5264785" cy="3434080"/>
            <wp:effectExtent l="0" t="0" r="12065" b="13970"/>
            <wp:wrapThrough wrapText="bothSides">
              <wp:wrapPolygon>
                <wp:start x="0" y="0"/>
                <wp:lineTo x="0" y="21448"/>
                <wp:lineTo x="21493" y="21448"/>
                <wp:lineTo x="21493" y="0"/>
                <wp:lineTo x="0" y="0"/>
              </wp:wrapPolygon>
            </wp:wrapThrough>
            <wp:docPr id="1" name="图片 0" descr="1657ebb6ac33528fce6b22020e0f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657ebb6ac33528fce6b22020e0f547.jpg"/>
                    <pic:cNvPicPr>
                      <a:picLocks noChangeAspect="1"/>
                    </pic:cNvPicPr>
                  </pic:nvPicPr>
                  <pic:blipFill>
                    <a:blip r:embed="rId4" cstate="print"/>
                    <a:srcRect t="10028"/>
                    <a:stretch>
                      <a:fillRect/>
                    </a:stretch>
                  </pic:blipFill>
                  <pic:spPr>
                    <a:xfrm>
                      <a:off x="0" y="0"/>
                      <a:ext cx="5264785" cy="3434080"/>
                    </a:xfrm>
                    <a:prstGeom prst="rect">
                      <a:avLst/>
                    </a:prstGeom>
                  </pic:spPr>
                </pic:pic>
              </a:graphicData>
            </a:graphic>
          </wp:anchor>
        </w:drawing>
      </w:r>
    </w:p>
    <w:p>
      <w:pPr>
        <w:pStyle w:val="25"/>
        <w:keepNext w:val="0"/>
        <w:keepLines w:val="0"/>
        <w:pageBreakBefore w:val="0"/>
        <w:widowControl w:val="0"/>
        <w:kinsoku/>
        <w:wordWrap/>
        <w:overflowPunct/>
        <w:topLinePunct w:val="0"/>
        <w:autoSpaceDE/>
        <w:autoSpaceDN/>
        <w:bidi w:val="0"/>
        <w:adjustRightInd/>
        <w:snapToGrid/>
        <w:spacing w:line="580" w:lineRule="exact"/>
        <w:ind w:firstLine="640" w:firstLineChars="200"/>
        <w:rPr>
          <w:rFonts w:hint="eastAsia" w:ascii="楷体_GB2312" w:hAnsi="楷体_GB2312" w:eastAsia="楷体_GB2312" w:cs="楷体_GB2312"/>
          <w:bCs/>
          <w:sz w:val="32"/>
          <w:szCs w:val="32"/>
          <w:lang w:eastAsia="zh-CN"/>
        </w:rPr>
      </w:pPr>
      <w:r>
        <w:rPr>
          <w:rFonts w:hint="eastAsia" w:ascii="楷体_GB2312" w:hAnsi="楷体_GB2312" w:eastAsia="楷体_GB2312" w:cs="楷体_GB2312"/>
          <w:bCs/>
          <w:kern w:val="2"/>
          <w:sz w:val="32"/>
          <w:szCs w:val="32"/>
          <w:lang w:val="en-US" w:eastAsia="zh-CN" w:bidi="ar-SA"/>
        </w:rPr>
        <w:t>（三）</w:t>
      </w:r>
      <w:r>
        <w:rPr>
          <w:rFonts w:hint="eastAsia" w:ascii="楷体_GB2312" w:hAnsi="楷体_GB2312" w:eastAsia="楷体_GB2312" w:cs="楷体_GB2312"/>
          <w:bCs/>
          <w:sz w:val="32"/>
          <w:szCs w:val="32"/>
          <w:lang w:eastAsia="zh-CN"/>
        </w:rPr>
        <w:t>基础设施清单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赛场配发的各类工具、材料，选手一律不得带出赛场。</w:t>
      </w:r>
    </w:p>
    <w:p>
      <w:pPr>
        <w:pStyle w:val="7"/>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初赛设施、设备清单</w:t>
      </w:r>
    </w:p>
    <w:tbl>
      <w:tblPr>
        <w:tblStyle w:val="13"/>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982"/>
        <w:gridCol w:w="2439"/>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982"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名称</w:t>
            </w:r>
          </w:p>
        </w:tc>
        <w:tc>
          <w:tcPr>
            <w:tcW w:w="2439"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2708"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82"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电脑</w:t>
            </w:r>
          </w:p>
        </w:tc>
        <w:tc>
          <w:tcPr>
            <w:tcW w:w="2439"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1套/人</w:t>
            </w:r>
          </w:p>
        </w:tc>
        <w:tc>
          <w:tcPr>
            <w:tcW w:w="2708" w:type="dxa"/>
          </w:tcPr>
          <w:p>
            <w:pPr>
              <w:pStyle w:val="7"/>
              <w:keepNext w:val="0"/>
              <w:keepLines w:val="0"/>
              <w:pageBreakBefore w:val="0"/>
              <w:kinsoku/>
              <w:overflowPunct/>
              <w:topLinePunct w:val="0"/>
              <w:autoSpaceDE/>
              <w:autoSpaceDN/>
              <w:bidi w:val="0"/>
              <w:spacing w:line="58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统一配置</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 xml:space="preserve">决赛赛场提供设施设备、材料清单 </w:t>
      </w:r>
    </w:p>
    <w:tbl>
      <w:tblPr>
        <w:tblStyle w:val="12"/>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42" w:type="dxa"/>
          <w:bottom w:w="57" w:type="dxa"/>
          <w:right w:w="142" w:type="dxa"/>
        </w:tblCellMar>
      </w:tblPr>
      <w:tblGrid>
        <w:gridCol w:w="1078"/>
        <w:gridCol w:w="2020"/>
        <w:gridCol w:w="2466"/>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tblHeader/>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rPr>
              <w:t>序号</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rPr>
              <w:t>名称</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数量</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lang w:eastAsia="zh-TW"/>
              </w:rPr>
            </w:pPr>
            <w:r>
              <w:rPr>
                <w:rFonts w:hint="eastAsia" w:ascii="仿宋_GB2312" w:hAnsi="仿宋_GB2312" w:eastAsia="仿宋_GB2312" w:cs="仿宋_GB2312"/>
                <w:sz w:val="24"/>
                <w:szCs w:val="24"/>
                <w:lang w:eastAsia="zh-TW"/>
              </w:rPr>
              <w:t>1</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电炒炉</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12套</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lang w:val="en-GB"/>
              </w:rPr>
            </w:pPr>
            <w:r>
              <w:rPr>
                <w:rFonts w:hint="eastAsia" w:ascii="仿宋_GB2312" w:hAnsi="仿宋_GB2312" w:eastAsia="仿宋_GB2312" w:cs="仿宋_GB2312"/>
                <w:sz w:val="24"/>
                <w:szCs w:val="24"/>
              </w:rPr>
              <w:t>2</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双层工作台</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12张</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lang w:val="en-GB"/>
              </w:rPr>
            </w:pPr>
            <w:r>
              <w:rPr>
                <w:rFonts w:hint="eastAsia" w:ascii="仿宋_GB2312" w:hAnsi="仿宋_GB2312" w:eastAsia="仿宋_GB2312" w:cs="仿宋_GB2312"/>
                <w:sz w:val="24"/>
                <w:szCs w:val="24"/>
              </w:rPr>
              <w:t>3</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单星盘台</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12张</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胶切菜板</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24块</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长形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蒸柜</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电烤箱</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1台</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微波炉</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家庭式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铁炒锅</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油盆</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锅铲</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按工位配</w:t>
            </w:r>
            <w:r>
              <w:rPr>
                <w:rFonts w:hint="eastAsia" w:ascii="仿宋_GB2312" w:hAnsi="仿宋_GB2312" w:eastAsia="仿宋_GB2312" w:cs="仿宋_GB2312"/>
                <w:sz w:val="24"/>
                <w:szCs w:val="24"/>
                <w:lang w:val="en-US" w:eastAsia="zh-CN"/>
              </w:rPr>
              <w:t>置</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炒壳</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按工位配</w:t>
            </w:r>
            <w:r>
              <w:rPr>
                <w:rFonts w:hint="eastAsia" w:ascii="仿宋_GB2312" w:hAnsi="仿宋_GB2312" w:eastAsia="仿宋_GB2312" w:cs="仿宋_GB2312"/>
                <w:sz w:val="24"/>
                <w:szCs w:val="24"/>
                <w:lang w:val="en-US" w:eastAsia="zh-CN"/>
              </w:rPr>
              <w:t>置</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锅刷</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按工位配</w:t>
            </w:r>
            <w:r>
              <w:rPr>
                <w:rFonts w:hint="eastAsia" w:ascii="仿宋_GB2312" w:hAnsi="仿宋_GB2312" w:eastAsia="仿宋_GB2312" w:cs="仿宋_GB2312"/>
                <w:sz w:val="24"/>
                <w:szCs w:val="24"/>
                <w:lang w:val="en-US" w:eastAsia="zh-CN"/>
              </w:rPr>
              <w:t>置</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码兜</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共12个/人</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大、中、小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电子秤</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1个/2人</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竹柄炸篱</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共18个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带柄奶煲</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共8个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筷子</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200双</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一次性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竹签</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10扎</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钢丝刷</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按工位配</w:t>
            </w:r>
            <w:r>
              <w:rPr>
                <w:rFonts w:hint="eastAsia" w:ascii="仿宋_GB2312" w:hAnsi="仿宋_GB2312" w:eastAsia="仿宋_GB2312" w:cs="仿宋_GB2312"/>
                <w:sz w:val="24"/>
                <w:szCs w:val="24"/>
                <w:lang w:val="en-US" w:eastAsia="zh-CN"/>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油隔</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白色圆碟</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手提式灭火器</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灭火毯</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6块</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42" w:type="dxa"/>
            <w:bottom w:w="57" w:type="dxa"/>
            <w:right w:w="142" w:type="dxa"/>
          </w:tblCellMar>
        </w:tblPrEx>
        <w:trPr>
          <w:trHeight w:val="580" w:hRule="atLeast"/>
          <w:jc w:val="center"/>
        </w:trPr>
        <w:tc>
          <w:tcPr>
            <w:tcW w:w="1078"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2020"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医药箱</w:t>
            </w:r>
          </w:p>
        </w:tc>
        <w:tc>
          <w:tcPr>
            <w:tcW w:w="2466"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w:t>
            </w:r>
          </w:p>
        </w:tc>
        <w:tc>
          <w:tcPr>
            <w:tcW w:w="2642" w:type="dxa"/>
            <w:vAlign w:val="center"/>
          </w:tcPr>
          <w:p>
            <w:pPr>
              <w:pStyle w:val="7"/>
              <w:keepNext w:val="0"/>
              <w:keepLines w:val="0"/>
              <w:pageBreakBefore w:val="0"/>
              <w:widowControl w:val="0"/>
              <w:kinsoku/>
              <w:wordWrap/>
              <w:overflowPunct/>
              <w:topLinePunct w:val="0"/>
              <w:autoSpaceDE/>
              <w:autoSpaceDN/>
              <w:bidi w:val="0"/>
              <w:adjustRightInd/>
              <w:snapToGrid/>
              <w:spacing w:line="220" w:lineRule="atLeast"/>
              <w:jc w:val="center"/>
              <w:textAlignment w:val="center"/>
              <w:rPr>
                <w:rFonts w:hint="eastAsia" w:ascii="仿宋_GB2312" w:hAnsi="仿宋_GB2312" w:eastAsia="仿宋_GB2312" w:cs="仿宋_GB2312"/>
                <w:sz w:val="24"/>
                <w:szCs w:val="24"/>
              </w:rPr>
            </w:pPr>
          </w:p>
        </w:tc>
      </w:tr>
    </w:tbl>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黑体" w:hAnsi="黑体" w:eastAsia="黑体" w:cs="黑体"/>
          <w:bCs/>
          <w:sz w:val="32"/>
          <w:szCs w:val="32"/>
        </w:rPr>
      </w:pPr>
      <w:r>
        <w:rPr>
          <w:rFonts w:hint="eastAsia" w:ascii="黑体" w:hAnsi="黑体" w:eastAsia="黑体" w:cs="黑体"/>
          <w:bCs/>
          <w:sz w:val="32"/>
          <w:szCs w:val="32"/>
        </w:rPr>
        <w:t>五、竞赛细则</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（一）竞赛守则</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1.参赛证于竞赛报到时凭有效身份证件领取。</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2.各类</w:t>
      </w:r>
      <w:r>
        <w:rPr>
          <w:rFonts w:hint="eastAsia" w:ascii="仿宋_GB2312" w:hAnsi="仿宋_GB2312" w:eastAsia="仿宋_GB2312" w:cs="仿宋_GB2312"/>
          <w:kern w:val="0"/>
          <w:sz w:val="32"/>
          <w:szCs w:val="32"/>
        </w:rPr>
        <w:t>人员须统一佩戴由执委会印制的证件，着装整齐。</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3.理论知识竞赛选手须提前20分钟凭有效身份证件和参赛证进入赛场，对号入座并将有效身份证件和参赛证放在座位左上角明显位置，以备核验，开赛20分钟后方可离场。开赛迟到20分钟不得入场，</w:t>
      </w:r>
      <w:r>
        <w:rPr>
          <w:rFonts w:hint="eastAsia" w:ascii="仿宋_GB2312" w:hAnsi="仿宋_GB2312" w:eastAsia="仿宋_GB2312" w:cs="仿宋_GB2312"/>
          <w:kern w:val="0"/>
          <w:sz w:val="32"/>
          <w:szCs w:val="32"/>
        </w:rPr>
        <w:t>按自动弃权处理。</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4.实际操作竞赛选手须提前30分钟凭有效身份证件和参赛证进入赛场，对号入座并将有效身份证件和参赛证放在座位左上角明显位置，以备核验。开赛迟到30分钟不得入场，按自动弃权处理。</w:t>
      </w:r>
    </w:p>
    <w:p>
      <w:pPr>
        <w:pStyle w:val="4"/>
        <w:keepNext w:val="0"/>
        <w:keepLines w:val="0"/>
        <w:pageBreakBefore w:val="0"/>
        <w:widowControl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5.实际操作竞赛</w:t>
      </w:r>
      <w:r>
        <w:rPr>
          <w:rFonts w:hint="eastAsia" w:ascii="仿宋_GB2312" w:hAnsi="仿宋_GB2312" w:eastAsia="仿宋_GB2312" w:cs="仿宋_GB2312"/>
          <w:kern w:val="0"/>
          <w:sz w:val="32"/>
          <w:szCs w:val="32"/>
        </w:rPr>
        <w:t>的出场顺序和实操工位由抽签决定。</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6.选手不能携带与竞赛相关的文件资料、通讯工具进入赛场。在赛场上自觉遵守赛场秩序，保持安静，竞赛进行过程中不允许任何形式的交谈，更不得大声喧哗吵闹，交头接耳，否则将给予警告或取消竞赛资格。</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w:t>
      </w:r>
      <w:r>
        <w:rPr>
          <w:rFonts w:hint="eastAsia" w:ascii="仿宋_GB2312" w:hAnsi="仿宋_GB2312" w:eastAsia="仿宋_GB2312" w:cs="仿宋_GB2312"/>
          <w:sz w:val="32"/>
          <w:szCs w:val="32"/>
        </w:rPr>
        <w:t>各赛场</w:t>
      </w:r>
      <w:r>
        <w:rPr>
          <w:rFonts w:hint="eastAsia" w:ascii="仿宋_GB2312" w:hAnsi="仿宋_GB2312" w:eastAsia="仿宋_GB2312" w:cs="仿宋_GB2312"/>
          <w:kern w:val="0"/>
          <w:sz w:val="32"/>
          <w:szCs w:val="32"/>
        </w:rPr>
        <w:t>除现场裁判、赛场配备的工作人员以外，其他人员未经允许不得进入竞赛区。</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8.竞赛期间，选手未经执委会批准，不得接受其他单位和个人对竞赛相关内容的采访，不得私自公布竞赛相关资料和情况。</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9.竞赛过程中，参赛选手须主动配合裁判工作，服从裁判安排，如果对竞赛的裁决有异议，可按规定以书面形式向执委会</w:t>
      </w:r>
      <w:r>
        <w:rPr>
          <w:rFonts w:hint="eastAsia" w:ascii="仿宋_GB2312" w:hAnsi="仿宋_GB2312" w:eastAsia="仿宋_GB2312" w:cs="仿宋_GB2312"/>
          <w:kern w:val="0"/>
          <w:sz w:val="32"/>
          <w:szCs w:val="32"/>
        </w:rPr>
        <w:t>申诉受理部</w:t>
      </w:r>
      <w:r>
        <w:rPr>
          <w:rFonts w:hint="eastAsia" w:ascii="仿宋_GB2312" w:hAnsi="仿宋_GB2312" w:eastAsia="仿宋_GB2312" w:cs="仿宋_GB2312"/>
          <w:sz w:val="32"/>
          <w:szCs w:val="32"/>
        </w:rPr>
        <w:t>提出申诉。</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10.竞赛现场配备实时监控系统，对现场赛事进行完整的实时监控和录像，并且配有专人对比赛环节进行全程录像。</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11.冒名顶替、弄虚作假、作弊者，取消竞赛资格及成绩。</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12.竞赛规定时间结束时，选手立即停止操作，有秩序地离开赛场。</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13.如竞赛出现不可预见的异常情况，由执委会与组委会商议后，做出处理决定。</w:t>
      </w:r>
    </w:p>
    <w:p>
      <w:pPr>
        <w:pStyle w:val="3"/>
        <w:keepNext w:val="0"/>
        <w:keepLines w:val="0"/>
        <w:pageBreakBefore w:val="0"/>
        <w:widowControl w:val="0"/>
        <w:kinsoku/>
        <w:wordWrap/>
        <w:overflowPunct/>
        <w:topLinePunct w:val="0"/>
        <w:autoSpaceDE/>
        <w:autoSpaceDN/>
        <w:bidi w:val="0"/>
        <w:adjustRightInd/>
        <w:spacing w:line="58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14.参赛选手认为赛场提供的设备、工具不符合规定的应立即向现场裁判提出更换。</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（二）安全、健康规定</w:t>
      </w:r>
    </w:p>
    <w:p>
      <w:pPr>
        <w:pStyle w:val="8"/>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1.赛场设医务室等，配备医疗人员，当选手或赛场其他人员发生身体不适时，进行相应的急救措施。</w:t>
      </w:r>
    </w:p>
    <w:p>
      <w:pPr>
        <w:pStyle w:val="4"/>
        <w:keepNext w:val="0"/>
        <w:keepLines w:val="0"/>
        <w:pageBreakBefore w:val="0"/>
        <w:widowControl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2.严格按照安全应急预案加强对竞赛全过程的动态管理，确保竞赛活动安全有序。</w:t>
      </w:r>
    </w:p>
    <w:p>
      <w:pPr>
        <w:pStyle w:val="11"/>
        <w:keepNext w:val="0"/>
        <w:keepLines w:val="0"/>
        <w:pageBreakBefore w:val="0"/>
        <w:widowControl w:val="0"/>
        <w:kinsoku/>
        <w:wordWrap/>
        <w:overflowPunct/>
        <w:topLinePunct w:val="0"/>
        <w:autoSpaceDE/>
        <w:autoSpaceDN/>
        <w:bidi w:val="0"/>
        <w:adjustRightInd/>
        <w:spacing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3.竞赛过程参赛选手能胜任全部竞赛操作的体能要求，并且遵守赛场安全操作规程；</w:t>
      </w:r>
      <w:r>
        <w:rPr>
          <w:rFonts w:hint="eastAsia" w:ascii="仿宋_GB2312" w:hAnsi="仿宋_GB2312" w:eastAsia="仿宋_GB2312" w:cs="仿宋_GB2312"/>
          <w:kern w:val="0"/>
          <w:sz w:val="32"/>
          <w:szCs w:val="32"/>
        </w:rPr>
        <w:t>对竞赛设施设备应爱护、保管，防止丢失和损坏；</w:t>
      </w:r>
      <w:r>
        <w:rPr>
          <w:rFonts w:hint="eastAsia" w:ascii="仿宋_GB2312" w:hAnsi="仿宋_GB2312" w:eastAsia="仿宋_GB2312" w:cs="仿宋_GB2312"/>
          <w:sz w:val="32"/>
          <w:szCs w:val="32"/>
        </w:rPr>
        <w:t>服从现场裁判的指挥，</w:t>
      </w:r>
      <w:r>
        <w:rPr>
          <w:rFonts w:hint="eastAsia" w:ascii="仿宋_GB2312" w:hAnsi="仿宋_GB2312" w:eastAsia="仿宋_GB2312" w:cs="仿宋_GB2312"/>
          <w:kern w:val="0"/>
          <w:sz w:val="32"/>
          <w:szCs w:val="32"/>
        </w:rPr>
        <w:t>接受裁判员、现场技术服务人员的监督和警示，</w:t>
      </w:r>
      <w:r>
        <w:rPr>
          <w:rFonts w:hint="eastAsia" w:ascii="仿宋_GB2312" w:hAnsi="仿宋_GB2312" w:eastAsia="仿宋_GB2312" w:cs="仿宋_GB2312"/>
          <w:sz w:val="32"/>
          <w:szCs w:val="32"/>
        </w:rPr>
        <w:t>保证操作过程中人身安全和设备安全。</w:t>
      </w:r>
    </w:p>
    <w:p>
      <w:pPr>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（三）申诉与仲裁</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现场申诉最迟应在竞赛结束后1小时内提出，超过时效将不予受理。申诉时，应以书面形式向申诉受理部提出，技术问题由裁判长与裁判员共同商议解决，非技术问题由组委会进行调查、核实、裁决。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8288BA-804C-4EBE-8D7B-6E9D0B162D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24FB008-7FD9-4D21-984F-75B927AAE320}"/>
  </w:font>
  <w:font w:name="楷体_GB2312">
    <w:panose1 w:val="02010609030101010101"/>
    <w:charset w:val="86"/>
    <w:family w:val="modern"/>
    <w:pitch w:val="default"/>
    <w:sig w:usb0="00000001" w:usb1="080E0000" w:usb2="00000000" w:usb3="00000000" w:csb0="00040000" w:csb1="00000000"/>
    <w:embedRegular r:id="rId3" w:fontKey="{4C7C316E-0CE6-4B42-9E4B-BF017981B3CE}"/>
  </w:font>
  <w:font w:name="仿宋">
    <w:panose1 w:val="02010609060101010101"/>
    <w:charset w:val="86"/>
    <w:family w:val="modern"/>
    <w:pitch w:val="default"/>
    <w:sig w:usb0="800002BF" w:usb1="38CF7CFA" w:usb2="00000016" w:usb3="00000000" w:csb0="00040001" w:csb1="00000000"/>
    <w:embedRegular r:id="rId4" w:fontKey="{237751B5-AC98-44A9-8187-EF817DBDD81E}"/>
  </w:font>
  <w:font w:name="仿宋_GB2312">
    <w:panose1 w:val="02010609030101010101"/>
    <w:charset w:val="86"/>
    <w:family w:val="modern"/>
    <w:pitch w:val="default"/>
    <w:sig w:usb0="00000001" w:usb1="080E0000" w:usb2="00000000" w:usb3="00000000" w:csb0="00040000" w:csb1="00000000"/>
    <w:embedRegular r:id="rId5" w:fontKey="{FF6FAF1B-7AEB-4040-B046-224B30827A5E}"/>
  </w:font>
  <w:font w:name="Frutiger LT Com 45 Light">
    <w:altName w:val="Calibri"/>
    <w:panose1 w:val="00000000000000000000"/>
    <w:charset w:val="00"/>
    <w:family w:val="swiss"/>
    <w:pitch w:val="default"/>
    <w:sig w:usb0="00000000" w:usb1="00000000" w:usb2="00000000" w:usb3="00000000" w:csb0="00000001"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4813B67A-3146-4F75-88DE-18FC6624D829}"/>
  </w:font>
  <w:font w:name="Cambria Math">
    <w:panose1 w:val="02040503050406030204"/>
    <w:charset w:val="00"/>
    <w:family w:val="roman"/>
    <w:pitch w:val="default"/>
    <w:sig w:usb0="E00006FF" w:usb1="420024FF" w:usb2="02000000" w:usb3="00000000" w:csb0="2000019F" w:csb1="00000000"/>
    <w:embedRegular r:id="rId7" w:fontKey="{4BDAA066-17C8-4B9B-B231-AC11BAE84B58}"/>
  </w:font>
  <w:font w:name="等线">
    <w:panose1 w:val="02010600030101010101"/>
    <w:charset w:val="86"/>
    <w:family w:val="auto"/>
    <w:pitch w:val="default"/>
    <w:sig w:usb0="A00002BF" w:usb1="38CF7CFA" w:usb2="00000016" w:usb3="00000000" w:csb0="0004000F" w:csb1="00000000"/>
    <w:embedRegular r:id="rId8" w:fontKey="{CB33FF0F-103B-40A1-B315-23F34F72E14C}"/>
  </w:font>
  <w:font w:name="方正楷体_GB2312">
    <w:altName w:val="楷体_GB2312"/>
    <w:panose1 w:val="02000000000000000000"/>
    <w:charset w:val="86"/>
    <w:family w:val="auto"/>
    <w:pitch w:val="default"/>
    <w:sig w:usb0="00000000" w:usb1="00000000" w:usb2="00000012" w:usb3="00000000" w:csb0="00040001" w:csb1="00000000"/>
    <w:embedRegular r:id="rId9" w:fontKey="{C68FF9EC-78B1-42F7-964E-38D4B2762197}"/>
  </w:font>
  <w:font w:name="方正仿宋_GB2312">
    <w:panose1 w:val="02000000000000000000"/>
    <w:charset w:val="86"/>
    <w:family w:val="auto"/>
    <w:pitch w:val="default"/>
    <w:sig w:usb0="A00002BF" w:usb1="184F6CFA" w:usb2="00000012" w:usb3="00000000" w:csb0="00040001" w:csb1="00000000"/>
    <w:embedRegular r:id="rId10" w:fontKey="{522910C4-03B2-4334-AED6-EC22DA3D1B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4"/>
      <w:numFmt w:val="japaneseCounting"/>
      <w:pStyle w:val="2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ZjVmYjU5ZDRmZDNlZTZiOGI4N2M1MjY5NTJlMzYifQ=="/>
  </w:docVars>
  <w:rsids>
    <w:rsidRoot w:val="00EE24C3"/>
    <w:rsid w:val="000377C0"/>
    <w:rsid w:val="0007135D"/>
    <w:rsid w:val="000A1F19"/>
    <w:rsid w:val="000C6F0C"/>
    <w:rsid w:val="000F7C24"/>
    <w:rsid w:val="00164C53"/>
    <w:rsid w:val="001B0849"/>
    <w:rsid w:val="001E621D"/>
    <w:rsid w:val="001E7089"/>
    <w:rsid w:val="001F7190"/>
    <w:rsid w:val="001F75AF"/>
    <w:rsid w:val="00203400"/>
    <w:rsid w:val="00225E68"/>
    <w:rsid w:val="00257289"/>
    <w:rsid w:val="00274F90"/>
    <w:rsid w:val="002A1CA5"/>
    <w:rsid w:val="002B1BD1"/>
    <w:rsid w:val="002D6404"/>
    <w:rsid w:val="002E0C6F"/>
    <w:rsid w:val="002E1B49"/>
    <w:rsid w:val="002E6C6F"/>
    <w:rsid w:val="002F57BD"/>
    <w:rsid w:val="003002CD"/>
    <w:rsid w:val="00346DC3"/>
    <w:rsid w:val="00360200"/>
    <w:rsid w:val="00366A28"/>
    <w:rsid w:val="0038545C"/>
    <w:rsid w:val="003863EA"/>
    <w:rsid w:val="003A6024"/>
    <w:rsid w:val="003C1C1E"/>
    <w:rsid w:val="003D1719"/>
    <w:rsid w:val="003D1F4C"/>
    <w:rsid w:val="003D68B0"/>
    <w:rsid w:val="003D77E6"/>
    <w:rsid w:val="00410D6F"/>
    <w:rsid w:val="004228A5"/>
    <w:rsid w:val="00433D8D"/>
    <w:rsid w:val="00453557"/>
    <w:rsid w:val="004A40E9"/>
    <w:rsid w:val="004D19BD"/>
    <w:rsid w:val="004F5607"/>
    <w:rsid w:val="005133FF"/>
    <w:rsid w:val="00520A52"/>
    <w:rsid w:val="00521CCB"/>
    <w:rsid w:val="005303D9"/>
    <w:rsid w:val="00531442"/>
    <w:rsid w:val="00540B46"/>
    <w:rsid w:val="00544BFC"/>
    <w:rsid w:val="00561BAB"/>
    <w:rsid w:val="005C4676"/>
    <w:rsid w:val="005C79DC"/>
    <w:rsid w:val="005D4937"/>
    <w:rsid w:val="006036F6"/>
    <w:rsid w:val="00623E12"/>
    <w:rsid w:val="0071237A"/>
    <w:rsid w:val="00746423"/>
    <w:rsid w:val="007B1078"/>
    <w:rsid w:val="007B1D99"/>
    <w:rsid w:val="007B6533"/>
    <w:rsid w:val="007D6897"/>
    <w:rsid w:val="0081165A"/>
    <w:rsid w:val="008223BC"/>
    <w:rsid w:val="008448BC"/>
    <w:rsid w:val="00871BD5"/>
    <w:rsid w:val="008A62AD"/>
    <w:rsid w:val="008B45CD"/>
    <w:rsid w:val="008F6E29"/>
    <w:rsid w:val="009D3B13"/>
    <w:rsid w:val="009E132E"/>
    <w:rsid w:val="009F0E9B"/>
    <w:rsid w:val="00A0406A"/>
    <w:rsid w:val="00A667AF"/>
    <w:rsid w:val="00A8169E"/>
    <w:rsid w:val="00AB220F"/>
    <w:rsid w:val="00AE354A"/>
    <w:rsid w:val="00B6058D"/>
    <w:rsid w:val="00B60CDD"/>
    <w:rsid w:val="00BA14C8"/>
    <w:rsid w:val="00BF4DEB"/>
    <w:rsid w:val="00BF7817"/>
    <w:rsid w:val="00C0199D"/>
    <w:rsid w:val="00C54262"/>
    <w:rsid w:val="00C60801"/>
    <w:rsid w:val="00C62866"/>
    <w:rsid w:val="00CB4DD5"/>
    <w:rsid w:val="00CC606D"/>
    <w:rsid w:val="00CE09EB"/>
    <w:rsid w:val="00D03026"/>
    <w:rsid w:val="00D46DBF"/>
    <w:rsid w:val="00DA3F25"/>
    <w:rsid w:val="00DA637A"/>
    <w:rsid w:val="00DB36E0"/>
    <w:rsid w:val="00DB3A48"/>
    <w:rsid w:val="00DB65E1"/>
    <w:rsid w:val="00DC0117"/>
    <w:rsid w:val="00E04A64"/>
    <w:rsid w:val="00E04E2B"/>
    <w:rsid w:val="00E45D8A"/>
    <w:rsid w:val="00E6436A"/>
    <w:rsid w:val="00EA576A"/>
    <w:rsid w:val="00ED5BA6"/>
    <w:rsid w:val="00EE24C3"/>
    <w:rsid w:val="00FC6660"/>
    <w:rsid w:val="0482288A"/>
    <w:rsid w:val="048E097B"/>
    <w:rsid w:val="05C4143E"/>
    <w:rsid w:val="06877304"/>
    <w:rsid w:val="06ED3312"/>
    <w:rsid w:val="075A5E7B"/>
    <w:rsid w:val="078B44F8"/>
    <w:rsid w:val="087F2A3D"/>
    <w:rsid w:val="08D046A7"/>
    <w:rsid w:val="09370DD5"/>
    <w:rsid w:val="0C81392B"/>
    <w:rsid w:val="0EE743E3"/>
    <w:rsid w:val="11BB6FB6"/>
    <w:rsid w:val="12295EA8"/>
    <w:rsid w:val="125B7FAC"/>
    <w:rsid w:val="138D4967"/>
    <w:rsid w:val="14CD5DA3"/>
    <w:rsid w:val="1507681A"/>
    <w:rsid w:val="18A84B5D"/>
    <w:rsid w:val="1A7509BB"/>
    <w:rsid w:val="1BAB1D85"/>
    <w:rsid w:val="1BD866B3"/>
    <w:rsid w:val="1C516672"/>
    <w:rsid w:val="1C7A6810"/>
    <w:rsid w:val="1D1D0F4A"/>
    <w:rsid w:val="1D906C55"/>
    <w:rsid w:val="203C450A"/>
    <w:rsid w:val="228A60A0"/>
    <w:rsid w:val="23506350"/>
    <w:rsid w:val="23686397"/>
    <w:rsid w:val="23F30C56"/>
    <w:rsid w:val="25C87AF4"/>
    <w:rsid w:val="268D1D9C"/>
    <w:rsid w:val="27000997"/>
    <w:rsid w:val="279F537D"/>
    <w:rsid w:val="280B47C0"/>
    <w:rsid w:val="28CF3A40"/>
    <w:rsid w:val="290704DD"/>
    <w:rsid w:val="2DA3424F"/>
    <w:rsid w:val="2E7B7D04"/>
    <w:rsid w:val="36C132D6"/>
    <w:rsid w:val="37991DE9"/>
    <w:rsid w:val="37F214F9"/>
    <w:rsid w:val="38925C27"/>
    <w:rsid w:val="38C0664D"/>
    <w:rsid w:val="38CC58A6"/>
    <w:rsid w:val="3A4009AF"/>
    <w:rsid w:val="3B563822"/>
    <w:rsid w:val="3B6221AB"/>
    <w:rsid w:val="3CCB40C7"/>
    <w:rsid w:val="3DC21011"/>
    <w:rsid w:val="3E06185A"/>
    <w:rsid w:val="3E8144DC"/>
    <w:rsid w:val="3EDA5D76"/>
    <w:rsid w:val="404843AC"/>
    <w:rsid w:val="41EC520B"/>
    <w:rsid w:val="44305883"/>
    <w:rsid w:val="44DD0E3B"/>
    <w:rsid w:val="46537607"/>
    <w:rsid w:val="465869CB"/>
    <w:rsid w:val="467733A8"/>
    <w:rsid w:val="46845629"/>
    <w:rsid w:val="47A67C0A"/>
    <w:rsid w:val="48FB48A9"/>
    <w:rsid w:val="4B5A0B53"/>
    <w:rsid w:val="4CC674A0"/>
    <w:rsid w:val="4D544C2C"/>
    <w:rsid w:val="4D613B15"/>
    <w:rsid w:val="4D6771EE"/>
    <w:rsid w:val="4DFF1E22"/>
    <w:rsid w:val="505F13ED"/>
    <w:rsid w:val="50C84727"/>
    <w:rsid w:val="50D650BC"/>
    <w:rsid w:val="53937D33"/>
    <w:rsid w:val="56633896"/>
    <w:rsid w:val="57D85BBE"/>
    <w:rsid w:val="58AE09E5"/>
    <w:rsid w:val="594B364E"/>
    <w:rsid w:val="5A5C149E"/>
    <w:rsid w:val="5B5E3A16"/>
    <w:rsid w:val="5BAA5AC3"/>
    <w:rsid w:val="5E28344B"/>
    <w:rsid w:val="5EE37767"/>
    <w:rsid w:val="5FEF1F64"/>
    <w:rsid w:val="5FF60B33"/>
    <w:rsid w:val="60200102"/>
    <w:rsid w:val="606B796C"/>
    <w:rsid w:val="60B1345D"/>
    <w:rsid w:val="60E44B07"/>
    <w:rsid w:val="6132085D"/>
    <w:rsid w:val="62650B05"/>
    <w:rsid w:val="6279012E"/>
    <w:rsid w:val="62BD432E"/>
    <w:rsid w:val="62C96492"/>
    <w:rsid w:val="63016E98"/>
    <w:rsid w:val="649410BE"/>
    <w:rsid w:val="64D81016"/>
    <w:rsid w:val="659B7C37"/>
    <w:rsid w:val="66EA76BB"/>
    <w:rsid w:val="694D5CE0"/>
    <w:rsid w:val="6B977ADA"/>
    <w:rsid w:val="6C585BB1"/>
    <w:rsid w:val="6C5A20EB"/>
    <w:rsid w:val="6C8644FE"/>
    <w:rsid w:val="6CD100A1"/>
    <w:rsid w:val="6ED70525"/>
    <w:rsid w:val="70756248"/>
    <w:rsid w:val="72563C90"/>
    <w:rsid w:val="73F2195D"/>
    <w:rsid w:val="74603708"/>
    <w:rsid w:val="746C136D"/>
    <w:rsid w:val="75D82BE7"/>
    <w:rsid w:val="76361582"/>
    <w:rsid w:val="77A2104B"/>
    <w:rsid w:val="79ED6F90"/>
    <w:rsid w:val="7B3912B0"/>
    <w:rsid w:val="7C3C5F39"/>
    <w:rsid w:val="7C8D2B6B"/>
    <w:rsid w:val="7CCF688C"/>
    <w:rsid w:val="7D61447C"/>
    <w:rsid w:val="7E2A79ED"/>
    <w:rsid w:val="7F4219EB"/>
    <w:rsid w:val="7F811B38"/>
    <w:rsid w:val="7F9A1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_Style 1"/>
    <w:basedOn w:val="1"/>
    <w:next w:val="1"/>
    <w:qFormat/>
    <w:uiPriority w:val="99"/>
    <w:pPr>
      <w:ind w:firstLine="420" w:firstLineChars="200"/>
    </w:pPr>
    <w:rPr>
      <w:szCs w:val="24"/>
    </w:rPr>
  </w:style>
  <w:style w:type="paragraph" w:styleId="3">
    <w:name w:val="index 8"/>
    <w:basedOn w:val="1"/>
    <w:next w:val="1"/>
    <w:qFormat/>
    <w:uiPriority w:val="0"/>
    <w:pPr>
      <w:ind w:left="1400" w:leftChars="1400"/>
    </w:pPr>
    <w:rPr>
      <w:rFonts w:ascii="Times New Roman" w:hAnsi="Times New Roman" w:eastAsia="仿宋_GB2312" w:cs="Times New Roman"/>
      <w:sz w:val="32"/>
      <w:szCs w:val="24"/>
    </w:rPr>
  </w:style>
  <w:style w:type="paragraph" w:styleId="4">
    <w:name w:val="index 5"/>
    <w:basedOn w:val="1"/>
    <w:next w:val="1"/>
    <w:qFormat/>
    <w:uiPriority w:val="0"/>
    <w:pPr>
      <w:ind w:left="1680"/>
    </w:pPr>
    <w:rPr>
      <w:rFonts w:ascii="Times New Roman" w:hAnsi="Times New Roman" w:eastAsia="仿宋_GB2312" w:cs="Times New Roman"/>
      <w:sz w:val="32"/>
      <w:szCs w:val="24"/>
    </w:rPr>
  </w:style>
  <w:style w:type="paragraph" w:styleId="5">
    <w:name w:val="annotation text"/>
    <w:basedOn w:val="1"/>
    <w:semiHidden/>
    <w:unhideWhenUsed/>
    <w:qFormat/>
    <w:uiPriority w:val="99"/>
    <w:pPr>
      <w:jc w:val="left"/>
    </w:pPr>
  </w:style>
  <w:style w:type="paragraph" w:styleId="6">
    <w:name w:val="Body Text"/>
    <w:basedOn w:val="1"/>
    <w:link w:val="23"/>
    <w:qFormat/>
    <w:uiPriority w:val="0"/>
    <w:rPr>
      <w:rFonts w:ascii="仿宋_GB2312" w:hAnsi="Times New Roman" w:eastAsia="仿宋_GB2312" w:cs="Times New Roman"/>
      <w:sz w:val="32"/>
      <w:szCs w:val="21"/>
    </w:rPr>
  </w:style>
  <w:style w:type="paragraph" w:styleId="7">
    <w:name w:val="Plain Text"/>
    <w:basedOn w:val="1"/>
    <w:next w:val="3"/>
    <w:unhideWhenUsed/>
    <w:qFormat/>
    <w:uiPriority w:val="0"/>
    <w:rPr>
      <w:rFonts w:ascii="宋体" w:hAnsi="Courier New" w:eastAsia="宋体" w:cs="Times New Roman"/>
      <w:szCs w:val="20"/>
    </w:rPr>
  </w:style>
  <w:style w:type="paragraph" w:styleId="8">
    <w:name w:val="footer"/>
    <w:basedOn w:val="1"/>
    <w:link w:val="19"/>
    <w:unhideWhenUsed/>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1">
    <w:name w:val="Body Text First Indent"/>
    <w:basedOn w:val="6"/>
    <w:qFormat/>
    <w:uiPriority w:val="0"/>
    <w:pPr>
      <w:spacing w:after="0" w:line="560" w:lineRule="exact"/>
      <w:ind w:firstLine="721" w:firstLineChars="200"/>
    </w:pPr>
    <w:rPr>
      <w:rFonts w:ascii="Calibri" w:hAnsi="Calibri" w:eastAsia="仿宋_GB2312" w:cs="Times New Roman"/>
      <w:sz w:val="32"/>
      <w:szCs w:val="24"/>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unhideWhenUsed/>
    <w:qFormat/>
    <w:uiPriority w:val="0"/>
    <w:rPr>
      <w:color w:val="000000"/>
      <w:u w:val="none"/>
    </w:rPr>
  </w:style>
  <w:style w:type="character" w:styleId="16">
    <w:name w:val="Hyperlink"/>
    <w:basedOn w:val="14"/>
    <w:unhideWhenUsed/>
    <w:qFormat/>
    <w:uiPriority w:val="0"/>
    <w:rPr>
      <w:rFonts w:hint="default" w:ascii="Times New Roman" w:hAnsi="Times New Roman" w:cs="Times New Roman"/>
      <w:color w:val="0000FF"/>
      <w:u w:val="single"/>
    </w:rPr>
  </w:style>
  <w:style w:type="character" w:styleId="17">
    <w:name w:val="Placeholder Text"/>
    <w:basedOn w:val="14"/>
    <w:semiHidden/>
    <w:qFormat/>
    <w:uiPriority w:val="99"/>
    <w:rPr>
      <w:color w:val="808080"/>
    </w:rPr>
  </w:style>
  <w:style w:type="character" w:customStyle="1" w:styleId="18">
    <w:name w:val="页眉 Char"/>
    <w:basedOn w:val="14"/>
    <w:link w:val="9"/>
    <w:qFormat/>
    <w:uiPriority w:val="99"/>
    <w:rPr>
      <w:sz w:val="18"/>
      <w:szCs w:val="18"/>
    </w:rPr>
  </w:style>
  <w:style w:type="character" w:customStyle="1" w:styleId="19">
    <w:name w:val="页脚 Char"/>
    <w:basedOn w:val="14"/>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4"/>
    <w:link w:val="20"/>
    <w:qFormat/>
    <w:uiPriority w:val="1"/>
    <w:rPr>
      <w:kern w:val="0"/>
      <w:sz w:val="22"/>
    </w:rPr>
  </w:style>
  <w:style w:type="character" w:customStyle="1" w:styleId="22">
    <w:name w:val="NormalCharacter"/>
    <w:semiHidden/>
    <w:qFormat/>
    <w:uiPriority w:val="0"/>
    <w:rPr>
      <w:rFonts w:ascii="Times New Roman" w:hAnsi="Times New Roman" w:eastAsia="宋体" w:cs="Times New Roman"/>
      <w:kern w:val="2"/>
      <w:sz w:val="21"/>
      <w:szCs w:val="21"/>
      <w:lang w:val="en-US" w:eastAsia="zh-CN" w:bidi="ar-SA"/>
    </w:rPr>
  </w:style>
  <w:style w:type="character" w:customStyle="1" w:styleId="23">
    <w:name w:val="正文文本 Char"/>
    <w:basedOn w:val="14"/>
    <w:link w:val="6"/>
    <w:qFormat/>
    <w:uiPriority w:val="0"/>
    <w:rPr>
      <w:rFonts w:ascii="仿宋_GB2312" w:hAnsi="Times New Roman" w:eastAsia="仿宋_GB2312" w:cs="Times New Roman"/>
      <w:kern w:val="2"/>
      <w:sz w:val="32"/>
      <w:szCs w:val="21"/>
    </w:rPr>
  </w:style>
  <w:style w:type="paragraph" w:customStyle="1" w:styleId="24">
    <w:name w:val="Table Bullet"/>
    <w:basedOn w:val="1"/>
    <w:qFormat/>
    <w:uiPriority w:val="0"/>
    <w:pPr>
      <w:widowControl/>
      <w:numPr>
        <w:ilvl w:val="0"/>
        <w:numId w:val="1"/>
      </w:numPr>
      <w:spacing w:after="120"/>
      <w:ind w:left="284" w:hanging="284"/>
      <w:contextualSpacing/>
    </w:pPr>
    <w:rPr>
      <w:rFonts w:ascii="Frutiger LT Com 45 Light" w:hAnsi="Frutiger LT Com 45 Light" w:eastAsia="宋体"/>
      <w:kern w:val="0"/>
      <w:sz w:val="20"/>
      <w:szCs w:val="22"/>
      <w:lang w:val="en-GB" w:eastAsia="en-US"/>
    </w:rPr>
  </w:style>
  <w:style w:type="paragraph" w:customStyle="1" w:styleId="25">
    <w:name w:val="PlainText"/>
    <w:basedOn w:val="1"/>
    <w:qFormat/>
    <w:uiPriority w:val="0"/>
    <w:pPr>
      <w:textAlignment w:val="baseline"/>
    </w:pPr>
    <w:rPr>
      <w:rFonts w:ascii="宋体" w:hAnsi="Courier New" w:eastAsia="仿宋_GB2312" w:cs="Times New Roman"/>
      <w:sz w:val="32"/>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C01BC-673D-491A-B7E9-2EDFD3244C13}">
  <ds:schemaRefs/>
</ds:datastoreItem>
</file>

<file path=docProps/app.xml><?xml version="1.0" encoding="utf-8"?>
<Properties xmlns="http://schemas.openxmlformats.org/officeDocument/2006/extended-properties" xmlns:vt="http://schemas.openxmlformats.org/officeDocument/2006/docPropsVTypes">
  <Template>Normal</Template>
  <Pages>18</Pages>
  <Words>6092</Words>
  <Characters>6486</Characters>
  <Lines>20</Lines>
  <Paragraphs>5</Paragraphs>
  <TotalTime>61</TotalTime>
  <ScaleCrop>false</ScaleCrop>
  <LinksUpToDate>false</LinksUpToDate>
  <CharactersWithSpaces>6599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2023-06-13T03:43:00Z</dcterms:created>
  <dc:creator>Windows 用户</dc:creator>
  <cp:lastModifiedBy>深圳职协杨老师</cp:lastModifiedBy>
  <cp:lastPrinted>2023-09-28T04:52:00Z</cp:lastPrinted>
  <dcterms:modified xsi:type="dcterms:W3CDTF">2023-10-07T01:55:06Z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03A0296BAE574048B61102DB98D7D8F8</vt:lpwstr>
  </property>
</Properties>
</file>