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附件1</w:t>
      </w:r>
    </w:p>
    <w:p>
      <w:pPr>
        <w:shd w:val="clear" w:color="auto" w:fill="FFFFFF"/>
        <w:overflowPunct w:val="0"/>
        <w:snapToGrid w:val="0"/>
        <w:spacing w:line="600" w:lineRule="exact"/>
        <w:jc w:val="center"/>
        <w:rPr>
          <w:rFonts w:ascii="方正小标宋简体" w:hAnsi="方正小标宋简体" w:eastAsia="方正小标宋简体" w:cs="方正小标宋简体"/>
          <w:color w:val="000000"/>
          <w:spacing w:val="5"/>
          <w:kern w:val="0"/>
          <w:sz w:val="36"/>
          <w:szCs w:val="36"/>
        </w:rPr>
      </w:pPr>
      <w:r>
        <w:rPr>
          <w:rFonts w:hint="eastAsia" w:ascii="方正小标宋简体" w:hAnsi="方正小标宋简体" w:eastAsia="方正小标宋简体" w:cs="方正小标宋简体"/>
          <w:color w:val="000000"/>
          <w:spacing w:val="5"/>
          <w:kern w:val="0"/>
          <w:sz w:val="36"/>
          <w:szCs w:val="36"/>
        </w:rPr>
        <w:t>深圳市技工院校和民办职业培训机构</w:t>
      </w:r>
    </w:p>
    <w:p>
      <w:pPr>
        <w:shd w:val="clear" w:color="auto" w:fill="FFFFFF"/>
        <w:overflowPunct w:val="0"/>
        <w:snapToGrid w:val="0"/>
        <w:spacing w:line="600" w:lineRule="exact"/>
        <w:jc w:val="center"/>
        <w:rPr>
          <w:rFonts w:ascii="方正小标宋简体" w:hAnsi="方正小标宋简体" w:eastAsia="方正小标宋简体" w:cs="方正小标宋简体"/>
          <w:color w:val="000000"/>
          <w:spacing w:val="5"/>
          <w:kern w:val="0"/>
          <w:sz w:val="36"/>
          <w:szCs w:val="36"/>
        </w:rPr>
      </w:pPr>
      <w:r>
        <w:rPr>
          <w:rFonts w:hint="eastAsia" w:ascii="方正小标宋简体" w:hAnsi="方正小标宋简体" w:eastAsia="方正小标宋简体" w:cs="方正小标宋简体"/>
          <w:color w:val="000000"/>
          <w:spacing w:val="5"/>
          <w:kern w:val="0"/>
          <w:sz w:val="36"/>
          <w:szCs w:val="36"/>
        </w:rPr>
        <w:t>教师上岗资格认定申报材料及填报说明</w:t>
      </w:r>
    </w:p>
    <w:p>
      <w:pPr>
        <w:numPr>
          <w:ilvl w:val="0"/>
          <w:numId w:val="1"/>
        </w:numPr>
        <w:spacing w:line="500" w:lineRule="exact"/>
        <w:ind w:firstLine="560" w:firstLineChars="200"/>
        <w:jc w:val="lef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申报材料按以下顺序装订，提交纸质材料（1-</w:t>
      </w:r>
      <w:r>
        <w:rPr>
          <w:rFonts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申请表需一式两份）</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至所在单位，由单位审核后与</w:t>
      </w:r>
      <w:bookmarkStart w:id="0" w:name="_GoBack"/>
      <w:bookmarkEnd w:id="0"/>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附件2汇总表一起提交至深圳市职工教育和职业培训协会。</w:t>
      </w:r>
    </w:p>
    <w:p>
      <w:pPr>
        <w:numPr>
          <w:numId w:val="0"/>
        </w:numPr>
        <w:spacing w:line="50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申报者须</w:t>
      </w:r>
      <w:r>
        <w:rPr>
          <w:rFonts w:hint="eastAsia" w:ascii="仿宋_GB2312" w:hAnsi="仿宋_GB2312" w:eastAsia="仿宋_GB2312" w:cs="仿宋_GB2312"/>
          <w:color w:val="000000" w:themeColor="text1"/>
          <w:sz w:val="28"/>
          <w:szCs w:val="28"/>
          <w14:textFill>
            <w14:solidFill>
              <w14:schemeClr w14:val="tx1"/>
            </w14:solidFill>
          </w14:textFill>
        </w:rPr>
        <w:t>同时在“深圳市技工院校教师上岗资格认定管理系统”上同步进行填报。</w:t>
      </w:r>
    </w:p>
    <w:p>
      <w:pPr>
        <w:spacing w:line="500" w:lineRule="exact"/>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（网址：https://sgz.szzx.org.cn/disttq/#/declaringEnterprises_login）</w:t>
      </w:r>
    </w:p>
    <w:p>
      <w:pPr>
        <w:spacing w:line="5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1.《教师上岗资格评审资料封面目录》</w:t>
      </w:r>
      <w:r>
        <w:rPr>
          <w:rFonts w:hint="eastAsia" w:ascii="仿宋_GB2312" w:hAnsi="仿宋_GB2312" w:eastAsia="仿宋_GB2312" w:cs="仿宋_GB2312"/>
          <w:color w:val="000000" w:themeColor="text1"/>
          <w:sz w:val="28"/>
          <w:szCs w:val="28"/>
          <w14:textFill>
            <w14:solidFill>
              <w14:schemeClr w14:val="tx1"/>
            </w14:solidFill>
          </w14:textFill>
        </w:rPr>
        <w:br w:type="textWrapping"/>
      </w:r>
      <w:r>
        <w:rPr>
          <w:rFonts w:hint="eastAsia" w:ascii="仿宋_GB2312" w:hAnsi="仿宋_GB2312" w:eastAsia="仿宋_GB2312" w:cs="仿宋_GB2312"/>
          <w:color w:val="000000" w:themeColor="text1"/>
          <w:sz w:val="28"/>
          <w:szCs w:val="28"/>
          <w14:textFill>
            <w14:solidFill>
              <w14:schemeClr w14:val="tx1"/>
            </w14:solidFill>
          </w14:textFill>
        </w:rPr>
        <w:t>1-1.《技工院校和民办职业培训机构教师上岗资格认定申请表》</w:t>
      </w:r>
      <w:r>
        <w:rPr>
          <w:rFonts w:hint="eastAsia" w:ascii="仿宋_GB2312" w:hAnsi="仿宋_GB2312" w:eastAsia="仿宋_GB2312" w:cs="仿宋_GB2312"/>
          <w:color w:val="000000" w:themeColor="text1"/>
          <w:sz w:val="28"/>
          <w:szCs w:val="28"/>
          <w14:textFill>
            <w14:solidFill>
              <w14:schemeClr w14:val="tx1"/>
            </w14:solidFill>
          </w14:textFill>
        </w:rPr>
        <w:br w:type="textWrapping"/>
      </w:r>
      <w:r>
        <w:rPr>
          <w:rFonts w:hint="eastAsia" w:ascii="仿宋_GB2312" w:hAnsi="仿宋_GB2312" w:eastAsia="仿宋_GB2312" w:cs="仿宋_GB2312"/>
          <w:color w:val="000000" w:themeColor="text1"/>
          <w:sz w:val="28"/>
          <w:szCs w:val="28"/>
          <w14:textFill>
            <w14:solidFill>
              <w14:schemeClr w14:val="tx1"/>
            </w14:solidFill>
          </w14:textFill>
        </w:rPr>
        <w:t>1-2.身份证复印件</w:t>
      </w:r>
    </w:p>
    <w:p>
      <w:pPr>
        <w:spacing w:line="5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1-3.任职单位缴交连续3个月以上的社保凭证网上打印证明</w:t>
      </w:r>
    </w:p>
    <w:p>
      <w:pPr>
        <w:spacing w:line="5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1-4.学历证书及学历鉴定证明（原件及复印件）</w:t>
      </w:r>
    </w:p>
    <w:p>
      <w:pPr>
        <w:spacing w:line="5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1-5.职业技术教育理论培训结业证或教师资格证书（原件及复印件）</w:t>
      </w:r>
    </w:p>
    <w:p>
      <w:pPr>
        <w:spacing w:line="5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1-6.《教学能力测评表》及测评专家专业技术职务复印件</w:t>
      </w:r>
    </w:p>
    <w:p>
      <w:pPr>
        <w:spacing w:line="500" w:lineRule="exact"/>
        <w:ind w:left="560" w:hanging="560" w:hanging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1-7.普通话等级测评证书或单位出具普通话教学能力证明</w:t>
      </w:r>
    </w:p>
    <w:p>
      <w:pPr>
        <w:spacing w:line="5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1-8.单位出具《思想品德鉴定表》</w:t>
      </w:r>
    </w:p>
    <w:p>
      <w:pPr>
        <w:spacing w:line="5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1-9.认定专业技术理论、生产实习指导教师资格人员提供职业资格证书或专业技术职务证书（原件及复印件）</w:t>
      </w:r>
    </w:p>
    <w:p>
      <w:pPr>
        <w:spacing w:line="5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二、填报说明</w:t>
      </w:r>
    </w:p>
    <w:p>
      <w:pPr>
        <w:spacing w:line="5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1.符合直接转认条件人员无需提供职业技术教育理论培训成绩证书、教学能力测评表、普通话教学能力证明材料，申报时提供“教师资格证书”（原件、复印件）。</w:t>
      </w:r>
    </w:p>
    <w:p>
      <w:pPr>
        <w:spacing w:line="5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2.材料“原件”由各单位审核后退回，报送及上传材料中使用“复印件”。</w:t>
      </w:r>
    </w:p>
    <w:p>
      <w:pPr>
        <w:spacing w:line="5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对国家职业资格证书已取消的专业，可提供相近专业的职业资格证书，申请认定专业技术理论、生产实习指导教师的人员，由所在单位组织3名以上评审专家（高级以上专业技术职务）按职业能力鉴定流程进行专业能力级别评定，申报时提供相关佐证材料。</w:t>
      </w:r>
    </w:p>
    <w:p>
      <w:pPr>
        <w:spacing w:line="5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4.申报需提供近期免冠彩色小1寸证件照片电子版（规格为35×25mm、150-200KB、640X480像素的JPG文件格式）。</w:t>
      </w:r>
    </w:p>
    <w:p>
      <w:pPr>
        <w:spacing w:line="5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5.附件2《深圳市技工院校和民办职业培训机构教师上岗资格认定审核汇总表》需提供EXCEL表格电子版。</w:t>
      </w:r>
    </w:p>
    <w:p>
      <w:pPr>
        <w:pStyle w:val="5"/>
        <w:numPr>
          <w:ilvl w:val="0"/>
          <w:numId w:val="2"/>
        </w:numPr>
        <w:spacing w:line="500" w:lineRule="exact"/>
        <w:ind w:firstLineChars="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系统申报指引</w:t>
      </w:r>
    </w:p>
    <w:p>
      <w:pPr>
        <w:pStyle w:val="5"/>
        <w:numPr>
          <w:ilvl w:val="0"/>
          <w:numId w:val="3"/>
        </w:numPr>
        <w:ind w:firstLineChars="0"/>
        <w:jc w:val="left"/>
        <w:rPr>
          <w:rFonts w:hint="eastAsia" w:ascii="仿宋_GB2312" w:eastAsia="仿宋_GB2312"/>
          <w:sz w:val="28"/>
          <w:szCs w:val="28"/>
        </w:rPr>
      </w:pPr>
      <w:r>
        <w:rPr>
          <w:rFonts w:hint="eastAsia" w:ascii="仿宋_GB2312" w:eastAsia="仿宋_GB2312"/>
          <w:sz w:val="28"/>
          <w:szCs w:val="28"/>
        </w:rPr>
        <w:t>打开管理系统，选定“教师登录”，填写相关个人信息，完成注册。</w:t>
      </w:r>
    </w:p>
    <w:p>
      <w:pPr>
        <w:jc w:val="left"/>
        <w:rPr>
          <w:rFonts w:ascii="仿宋_GB2312" w:eastAsia="仿宋_GB2312" w:cs="仿宋_GB2312" w:hAnsiTheme="minorEastAsia"/>
          <w:sz w:val="28"/>
          <w:szCs w:val="28"/>
        </w:rPr>
      </w:pPr>
      <w:r>
        <w:rPr>
          <w:rFonts w:hint="eastAsia"/>
        </w:rPr>
        <w:drawing>
          <wp:anchor distT="0" distB="0" distL="114300" distR="114300" simplePos="0" relativeHeight="251659264" behindDoc="0" locked="0" layoutInCell="1" allowOverlap="1">
            <wp:simplePos x="0" y="0"/>
            <wp:positionH relativeFrom="margin">
              <wp:posOffset>0</wp:posOffset>
            </wp:positionH>
            <wp:positionV relativeFrom="paragraph">
              <wp:posOffset>4677410</wp:posOffset>
            </wp:positionV>
            <wp:extent cx="4381500" cy="2813050"/>
            <wp:effectExtent l="0" t="0" r="0" b="635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4381500" cy="2813050"/>
                    </a:xfrm>
                    <a:prstGeom prst="rect">
                      <a:avLst/>
                    </a:prstGeom>
                  </pic:spPr>
                </pic:pic>
              </a:graphicData>
            </a:graphic>
          </wp:anchor>
        </w:drawing>
      </w:r>
      <w:r>
        <w:rPr>
          <w:rFonts w:hint="eastAsia" w:ascii="仿宋_GB2312" w:eastAsia="仿宋_GB2312" w:hAnsiTheme="minorEastAsia"/>
          <w:sz w:val="28"/>
          <w:szCs w:val="28"/>
        </w:rPr>
        <w:drawing>
          <wp:anchor distT="0" distB="0" distL="114300" distR="114300" simplePos="0" relativeHeight="251663360" behindDoc="0" locked="0" layoutInCell="1" allowOverlap="1">
            <wp:simplePos x="0" y="0"/>
            <wp:positionH relativeFrom="margin">
              <wp:posOffset>0</wp:posOffset>
            </wp:positionH>
            <wp:positionV relativeFrom="paragraph">
              <wp:posOffset>1188085</wp:posOffset>
            </wp:positionV>
            <wp:extent cx="2790825" cy="3231515"/>
            <wp:effectExtent l="0" t="0" r="9525" b="698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2790825" cy="3231515"/>
                    </a:xfrm>
                    <a:prstGeom prst="rect">
                      <a:avLst/>
                    </a:prstGeom>
                  </pic:spPr>
                </pic:pic>
              </a:graphicData>
            </a:graphic>
          </wp:anchor>
        </w:drawing>
      </w:r>
      <w:r>
        <w:rPr>
          <w:rFonts w:hint="eastAsia" w:ascii="仿宋_GB2312" w:eastAsia="仿宋_GB2312" w:hAnsiTheme="minorEastAsia"/>
          <w:sz w:val="28"/>
          <w:szCs w:val="28"/>
        </w:rPr>
        <w:t>网址</w:t>
      </w:r>
      <w:r>
        <w:fldChar w:fldCharType="begin"/>
      </w:r>
      <w:r>
        <w:instrText xml:space="preserve"> HYPERLINK "https://sgz.szzx.org.cn/disttq/#/declaringEnterprises_login" </w:instrText>
      </w:r>
      <w:r>
        <w:fldChar w:fldCharType="separate"/>
      </w:r>
      <w:r>
        <w:rPr>
          <w:rStyle w:val="4"/>
          <w:rFonts w:hint="eastAsia" w:ascii="仿宋_GB2312" w:eastAsia="仿宋_GB2312" w:cs="仿宋_GB2312" w:hAnsiTheme="minorEastAsia"/>
          <w:color w:val="auto"/>
          <w:sz w:val="28"/>
          <w:szCs w:val="28"/>
          <w:u w:val="none"/>
        </w:rPr>
        <w:t>https://sgz.szzx.org.cn/disttq/#/declaringEnterprises_login</w:t>
      </w:r>
      <w:r>
        <w:rPr>
          <w:rStyle w:val="4"/>
          <w:rFonts w:hint="eastAsia" w:ascii="仿宋_GB2312" w:eastAsia="仿宋_GB2312" w:cs="仿宋_GB2312" w:hAnsiTheme="minorEastAsia"/>
          <w:color w:val="auto"/>
          <w:sz w:val="28"/>
          <w:szCs w:val="28"/>
          <w:u w:val="none"/>
        </w:rPr>
        <w:fldChar w:fldCharType="end"/>
      </w:r>
    </w:p>
    <w:p>
      <w:pPr>
        <w:jc w:val="left"/>
        <w:rPr>
          <w:rFonts w:hint="eastAsia" w:ascii="仿宋_GB2312" w:eastAsia="仿宋_GB2312" w:cs="仿宋_GB2312" w:hAnsiTheme="minorEastAsia"/>
          <w:color w:val="000000" w:themeColor="text1"/>
          <w:sz w:val="28"/>
          <w:szCs w:val="28"/>
          <w14:textFill>
            <w14:solidFill>
              <w14:schemeClr w14:val="tx1"/>
            </w14:solidFill>
          </w14:textFill>
        </w:rPr>
      </w:pPr>
      <w:r>
        <w:rPr>
          <w:rFonts w:hint="eastAsia" w:ascii="仿宋_GB2312" w:eastAsia="仿宋_GB2312" w:cs="仿宋_GB2312" w:hAnsiTheme="minorEastAsia"/>
          <w:sz w:val="28"/>
          <w:szCs w:val="28"/>
        </w:rPr>
        <w:t>2、</w:t>
      </w:r>
      <w:r>
        <w:rPr>
          <w:rFonts w:hint="eastAsia" w:ascii="仿宋_GB2312" w:eastAsia="仿宋_GB2312" w:hAnsiTheme="minorEastAsia"/>
          <w:sz w:val="28"/>
          <w:szCs w:val="28"/>
        </w:rPr>
        <w:t>重新登录系统，点击“个人信息”，完善个人申报信息并上传近期免冠彩色小1寸证件照片后提交</w:t>
      </w:r>
      <w:r>
        <w:rPr>
          <w:rFonts w:hint="eastAsia" w:ascii="仿宋_GB2312" w:eastAsia="仿宋_GB2312"/>
          <w:sz w:val="28"/>
          <w:szCs w:val="28"/>
        </w:rPr>
        <w:t>。</w:t>
      </w:r>
    </w:p>
    <w:p>
      <w:pPr>
        <w:pStyle w:val="5"/>
        <w:ind w:left="420" w:firstLine="0" w:firstLineChars="0"/>
      </w:pPr>
      <w:r>
        <w:drawing>
          <wp:anchor distT="0" distB="0" distL="114300" distR="114300" simplePos="0" relativeHeight="251660288" behindDoc="0" locked="0" layoutInCell="1" allowOverlap="1">
            <wp:simplePos x="0" y="0"/>
            <wp:positionH relativeFrom="margin">
              <wp:align>left</wp:align>
            </wp:positionH>
            <wp:positionV relativeFrom="paragraph">
              <wp:posOffset>197485</wp:posOffset>
            </wp:positionV>
            <wp:extent cx="6115050" cy="3694430"/>
            <wp:effectExtent l="0" t="0" r="0" b="127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6115050" cy="3694430"/>
                    </a:xfrm>
                    <a:prstGeom prst="rect">
                      <a:avLst/>
                    </a:prstGeom>
                  </pic:spPr>
                </pic:pic>
              </a:graphicData>
            </a:graphic>
          </wp:anchor>
        </w:drawing>
      </w:r>
      <w:r>
        <w:t xml:space="preserve"> </w:t>
      </w:r>
    </w:p>
    <w:p>
      <w:pPr>
        <w:rPr>
          <w:rFonts w:hint="eastAsia" w:ascii="仿宋_GB2312" w:eastAsia="仿宋_GB2312"/>
          <w:sz w:val="28"/>
          <w:szCs w:val="28"/>
        </w:rPr>
      </w:pPr>
      <w:r>
        <w:rPr>
          <w:rFonts w:hint="eastAsia" w:ascii="仿宋_GB2312" w:eastAsia="仿宋_GB2312" w:hAnsiTheme="minorHAnsi" w:cstheme="minorBidi"/>
          <w:sz w:val="28"/>
          <w:szCs w:val="28"/>
        </w:rPr>
        <w:t>3、</w:t>
      </w:r>
      <w:r>
        <w:rPr>
          <w:rFonts w:hint="eastAsia" w:ascii="仿宋_GB2312" w:eastAsia="仿宋_GB2312"/>
          <w:sz w:val="28"/>
          <w:szCs w:val="28"/>
        </w:rPr>
        <w:t>点击“可报名项目”，找到对应批次“教师上岗证申报”班别后，点击“去报名”。</w:t>
      </w:r>
    </w:p>
    <w:p>
      <w:r>
        <w:drawing>
          <wp:anchor distT="0" distB="0" distL="114300" distR="114300" simplePos="0" relativeHeight="251661312" behindDoc="0" locked="0" layoutInCell="1" allowOverlap="1">
            <wp:simplePos x="0" y="0"/>
            <wp:positionH relativeFrom="margin">
              <wp:posOffset>0</wp:posOffset>
            </wp:positionH>
            <wp:positionV relativeFrom="paragraph">
              <wp:posOffset>199390</wp:posOffset>
            </wp:positionV>
            <wp:extent cx="6380480" cy="895350"/>
            <wp:effectExtent l="0" t="0" r="1270" b="0"/>
            <wp:wrapTopAndBottom/>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7"/>
                    <a:stretch>
                      <a:fillRect/>
                    </a:stretch>
                  </pic:blipFill>
                  <pic:spPr>
                    <a:xfrm>
                      <a:off x="0" y="0"/>
                      <a:ext cx="6380480" cy="895350"/>
                    </a:xfrm>
                    <a:prstGeom prst="rect">
                      <a:avLst/>
                    </a:prstGeom>
                  </pic:spPr>
                </pic:pic>
              </a:graphicData>
            </a:graphic>
          </wp:anchor>
        </w:drawing>
      </w:r>
    </w:p>
    <w:p/>
    <w:p>
      <w:pPr>
        <w:rPr>
          <w:rFonts w:ascii="仿宋_GB2312" w:eastAsia="仿宋_GB2312"/>
          <w:sz w:val="28"/>
          <w:szCs w:val="28"/>
        </w:rPr>
      </w:pPr>
    </w:p>
    <w:p>
      <w:pPr>
        <w:rPr>
          <w:rFonts w:hint="eastAsia" w:ascii="仿宋_GB2312" w:eastAsia="仿宋_GB2312"/>
          <w:sz w:val="28"/>
          <w:szCs w:val="28"/>
        </w:rPr>
      </w:pPr>
      <w:r>
        <w:rPr>
          <w:rFonts w:hint="eastAsia" w:ascii="仿宋_GB2312" w:eastAsia="仿宋_GB2312"/>
          <w:sz w:val="28"/>
          <w:szCs w:val="28"/>
        </w:rPr>
        <w:t>4、点击“报名列表”，选择对应认定类型及申报模块，确认无误后打印申报表并送单位审核签章，在右边附件上传处上传签章后的申请表及其他规定的证明材料后点击“提交”，完成系统申报。</w:t>
      </w:r>
    </w:p>
    <w:p/>
    <w:p>
      <w:r>
        <w:drawing>
          <wp:anchor distT="0" distB="0" distL="114300" distR="114300" simplePos="0" relativeHeight="251662336" behindDoc="0" locked="0" layoutInCell="1" allowOverlap="1">
            <wp:simplePos x="0" y="0"/>
            <wp:positionH relativeFrom="margin">
              <wp:posOffset>-371475</wp:posOffset>
            </wp:positionH>
            <wp:positionV relativeFrom="paragraph">
              <wp:posOffset>0</wp:posOffset>
            </wp:positionV>
            <wp:extent cx="6447790" cy="3025775"/>
            <wp:effectExtent l="0" t="0" r="0" b="3175"/>
            <wp:wrapTopAndBottom/>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a:stretch>
                      <a:fillRect/>
                    </a:stretch>
                  </pic:blipFill>
                  <pic:spPr>
                    <a:xfrm>
                      <a:off x="0" y="0"/>
                      <a:ext cx="6447790" cy="3025775"/>
                    </a:xfrm>
                    <a:prstGeom prst="rect">
                      <a:avLst/>
                    </a:prstGeom>
                  </pic:spPr>
                </pic:pic>
              </a:graphicData>
            </a:graphic>
          </wp:anchor>
        </w:drawing>
      </w:r>
    </w:p>
    <w:p/>
    <w:p/>
    <w:p/>
    <w:p/>
    <w:p>
      <w:pPr>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32"/>
          <w:szCs w:val="32"/>
          <w14:textFill>
            <w14:solidFill>
              <w14:schemeClr w14:val="tx1"/>
            </w14:solidFill>
          </w14:textFill>
        </w:rPr>
      </w:pPr>
    </w:p>
    <w:sectPr>
      <w:pgSz w:w="11906" w:h="16838"/>
      <w:pgMar w:top="1440" w:right="141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71BFD2"/>
    <w:multiLevelType w:val="singleLevel"/>
    <w:tmpl w:val="CC71BFD2"/>
    <w:lvl w:ilvl="0" w:tentative="0">
      <w:start w:val="1"/>
      <w:numFmt w:val="chineseCounting"/>
      <w:suff w:val="nothing"/>
      <w:lvlText w:val="%1、"/>
      <w:lvlJc w:val="left"/>
      <w:rPr>
        <w:rFonts w:hint="eastAsia"/>
      </w:rPr>
    </w:lvl>
  </w:abstractNum>
  <w:abstractNum w:abstractNumId="1">
    <w:nsid w:val="20D70A89"/>
    <w:multiLevelType w:val="multilevel"/>
    <w:tmpl w:val="20D70A89"/>
    <w:lvl w:ilvl="0" w:tentative="0">
      <w:start w:val="3"/>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7BA343B"/>
    <w:multiLevelType w:val="multilevel"/>
    <w:tmpl w:val="57BA343B"/>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2NGI3YTY0YjIwN2E0NjBjNzE4OTZmYzJiMzU1ZTgifQ=="/>
  </w:docVars>
  <w:rsids>
    <w:rsidRoot w:val="112114D7"/>
    <w:rsid w:val="004458A9"/>
    <w:rsid w:val="008D5E12"/>
    <w:rsid w:val="009129CE"/>
    <w:rsid w:val="00A91648"/>
    <w:rsid w:val="00C773C1"/>
    <w:rsid w:val="00DB0518"/>
    <w:rsid w:val="00EF633B"/>
    <w:rsid w:val="112114D7"/>
    <w:rsid w:val="2A2A6419"/>
    <w:rsid w:val="2CED346C"/>
    <w:rsid w:val="3DF975FD"/>
    <w:rsid w:val="4A041C51"/>
    <w:rsid w:val="51BD002A"/>
    <w:rsid w:val="5D854A84"/>
    <w:rsid w:val="5ED75D25"/>
    <w:rsid w:val="60E30D39"/>
    <w:rsid w:val="6DFB2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basedOn w:val="3"/>
    <w:uiPriority w:val="0"/>
    <w:rPr>
      <w:color w:val="0026E5" w:themeColor="hyperlink"/>
      <w:u w:val="single"/>
      <w14:textFill>
        <w14:solidFill>
          <w14:schemeClr w14:val="hlink"/>
        </w14:solidFill>
      </w14:textFill>
    </w:rPr>
  </w:style>
  <w:style w:type="paragraph" w:styleId="5">
    <w:name w:val="List Paragraph"/>
    <w:basedOn w:val="1"/>
    <w:qFormat/>
    <w:uiPriority w:val="34"/>
    <w:pPr>
      <w:ind w:firstLine="420" w:firstLineChars="200"/>
    </w:pPr>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172</Words>
  <Characters>986</Characters>
  <Lines>8</Lines>
  <Paragraphs>2</Paragraphs>
  <TotalTime>13</TotalTime>
  <ScaleCrop>false</ScaleCrop>
  <LinksUpToDate>false</LinksUpToDate>
  <CharactersWithSpaces>1156</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2024-01-26T03:53:00Z</dcterms:created>
  <dc:creator>竹子</dc:creator>
  <cp:lastModifiedBy>想想</cp:lastModifiedBy>
  <cp:lastPrinted>2024-02-26T02:36:00Z</cp:lastPrinted>
  <dcterms:modified xsi:type="dcterms:W3CDTF">2024-03-21T03:23:49Z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F4521ACDC3A4430A841C0BF050A433EC_13</vt:lpwstr>
  </property>
</Properties>
</file>